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A1" w:rsidRDefault="00FB3DA1" w:rsidP="00172C17">
      <w:pPr>
        <w:jc w:val="center"/>
        <w:rPr>
          <w:rFonts w:ascii="Arial" w:hAnsi="Arial" w:cs="Arial"/>
          <w:b/>
          <w:sz w:val="22"/>
          <w:szCs w:val="22"/>
          <w:lang w:val="fr-FR"/>
        </w:rPr>
      </w:pPr>
    </w:p>
    <w:p w:rsidR="00BF1140" w:rsidRDefault="00F07364" w:rsidP="00BF1140">
      <w:pPr>
        <w:rPr>
          <w:rFonts w:ascii="Arial" w:hAnsi="Arial" w:cs="Arial"/>
          <w:b/>
          <w:sz w:val="22"/>
          <w:szCs w:val="22"/>
          <w:lang w:val="fr-CH"/>
        </w:rPr>
      </w:pPr>
      <w:r>
        <w:rPr>
          <w:rFonts w:ascii="Arial" w:hAnsi="Arial" w:cs="Arial"/>
          <w:b/>
          <w:noProof/>
          <w:sz w:val="28"/>
          <w:szCs w:val="28"/>
        </w:rPr>
        <w:drawing>
          <wp:inline distT="0" distB="0" distL="0" distR="0">
            <wp:extent cx="1285240" cy="7073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85240" cy="707390"/>
                    </a:xfrm>
                    <a:prstGeom prst="rect">
                      <a:avLst/>
                    </a:prstGeom>
                    <a:noFill/>
                    <a:ln w="9525">
                      <a:noFill/>
                      <a:miter lim="800000"/>
                      <a:headEnd/>
                      <a:tailEnd/>
                    </a:ln>
                  </pic:spPr>
                </pic:pic>
              </a:graphicData>
            </a:graphic>
          </wp:inline>
        </w:drawing>
      </w:r>
    </w:p>
    <w:p w:rsidR="008002C2" w:rsidRDefault="008002C2" w:rsidP="00BF1140">
      <w:pPr>
        <w:rPr>
          <w:rFonts w:ascii="Arial" w:hAnsi="Arial" w:cs="Arial"/>
          <w:b/>
          <w:sz w:val="22"/>
          <w:szCs w:val="22"/>
          <w:lang w:val="fr-CH"/>
        </w:rPr>
      </w:pPr>
    </w:p>
    <w:p w:rsidR="008002C2" w:rsidRPr="004A5A6D" w:rsidRDefault="008002C2" w:rsidP="00BF1140">
      <w:pPr>
        <w:rPr>
          <w:rFonts w:ascii="Arial" w:hAnsi="Arial" w:cs="Arial"/>
          <w:b/>
          <w:sz w:val="22"/>
          <w:szCs w:val="22"/>
          <w:lang w:val="fr-CH"/>
        </w:rPr>
      </w:pPr>
    </w:p>
    <w:p w:rsidR="00BF1140" w:rsidRPr="00FE5864" w:rsidRDefault="00BF1140" w:rsidP="00BF1140">
      <w:pPr>
        <w:jc w:val="right"/>
        <w:outlineLvl w:val="0"/>
        <w:rPr>
          <w:rFonts w:ascii="Arial" w:hAnsi="Arial" w:cs="Arial"/>
          <w:b/>
          <w:sz w:val="28"/>
          <w:szCs w:val="28"/>
          <w:lang w:val="fr-CH"/>
        </w:rPr>
      </w:pPr>
      <w:r w:rsidRPr="00FE5864">
        <w:rPr>
          <w:rFonts w:ascii="Arial" w:hAnsi="Arial" w:cs="Arial"/>
          <w:b/>
          <w:sz w:val="28"/>
          <w:szCs w:val="28"/>
          <w:lang w:val="fr-CH"/>
        </w:rPr>
        <w:t>COMMUNIQUÉ DE PRESSE</w:t>
      </w:r>
    </w:p>
    <w:p w:rsidR="00BF1140" w:rsidRDefault="00FC5396" w:rsidP="00BF1140">
      <w:pPr>
        <w:jc w:val="right"/>
        <w:rPr>
          <w:rFonts w:ascii="Arial" w:hAnsi="Arial" w:cs="Arial"/>
          <w:i/>
          <w:lang w:val="fr-CH"/>
        </w:rPr>
      </w:pPr>
      <w:r>
        <w:rPr>
          <w:rFonts w:ascii="Arial" w:hAnsi="Arial" w:cs="Arial"/>
          <w:i/>
          <w:lang w:val="fr-CH"/>
        </w:rPr>
        <w:t>7</w:t>
      </w:r>
      <w:r w:rsidR="00BF1140">
        <w:rPr>
          <w:rFonts w:ascii="Arial" w:hAnsi="Arial" w:cs="Arial"/>
          <w:i/>
          <w:lang w:val="fr-CH"/>
        </w:rPr>
        <w:t xml:space="preserve"> septembre 201</w:t>
      </w:r>
      <w:r>
        <w:rPr>
          <w:rFonts w:ascii="Arial" w:hAnsi="Arial" w:cs="Arial"/>
          <w:i/>
          <w:lang w:val="fr-CH"/>
        </w:rPr>
        <w:t>1</w:t>
      </w:r>
    </w:p>
    <w:p w:rsidR="00E72284" w:rsidRDefault="00E72284" w:rsidP="00E72284">
      <w:pPr>
        <w:jc w:val="center"/>
        <w:rPr>
          <w:rFonts w:ascii="Arial" w:hAnsi="Arial" w:cs="Arial"/>
          <w:i/>
          <w:lang w:val="fr-CH"/>
        </w:rPr>
      </w:pPr>
    </w:p>
    <w:p w:rsidR="008002C2" w:rsidRDefault="008002C2" w:rsidP="00E72284">
      <w:pPr>
        <w:jc w:val="center"/>
        <w:rPr>
          <w:rFonts w:ascii="Arial" w:hAnsi="Arial" w:cs="Arial"/>
          <w:i/>
          <w:lang w:val="fr-CH"/>
        </w:rPr>
      </w:pPr>
    </w:p>
    <w:p w:rsidR="008002C2" w:rsidRDefault="008002C2" w:rsidP="00E72284">
      <w:pPr>
        <w:jc w:val="center"/>
        <w:rPr>
          <w:rFonts w:ascii="Arial" w:hAnsi="Arial" w:cs="Arial"/>
          <w:i/>
          <w:lang w:val="fr-CH"/>
        </w:rPr>
      </w:pPr>
    </w:p>
    <w:p w:rsidR="001F5F61" w:rsidRDefault="001F5F61" w:rsidP="00E72284">
      <w:pPr>
        <w:jc w:val="center"/>
        <w:rPr>
          <w:rFonts w:ascii="Arial" w:hAnsi="Arial" w:cs="Arial"/>
          <w:i/>
          <w:lang w:val="fr-CH"/>
        </w:rPr>
      </w:pPr>
    </w:p>
    <w:p w:rsidR="001F5F61" w:rsidRDefault="001F5F61" w:rsidP="00172C17">
      <w:pPr>
        <w:jc w:val="center"/>
        <w:rPr>
          <w:rFonts w:ascii="Arial" w:hAnsi="Arial" w:cs="Arial"/>
          <w:b/>
          <w:sz w:val="22"/>
          <w:szCs w:val="22"/>
          <w:lang w:val="fr-FR"/>
        </w:rPr>
      </w:pPr>
    </w:p>
    <w:p w:rsidR="00157322" w:rsidRPr="00157322" w:rsidRDefault="00157322" w:rsidP="00157322">
      <w:pPr>
        <w:rPr>
          <w:rFonts w:ascii="Arial" w:hAnsi="Arial" w:cs="Arial"/>
          <w:b/>
          <w:u w:val="single"/>
          <w:lang w:val="fr-LU"/>
        </w:rPr>
      </w:pPr>
      <w:r w:rsidRPr="00157322">
        <w:rPr>
          <w:rFonts w:ascii="Arial" w:hAnsi="Arial" w:cs="Arial"/>
          <w:b/>
          <w:u w:val="single"/>
          <w:lang w:val="fr-LU"/>
        </w:rPr>
        <w:t xml:space="preserve">« Global </w:t>
      </w:r>
      <w:proofErr w:type="spellStart"/>
      <w:r w:rsidRPr="00157322">
        <w:rPr>
          <w:rFonts w:ascii="Arial" w:hAnsi="Arial" w:cs="Arial"/>
          <w:b/>
          <w:u w:val="single"/>
          <w:lang w:val="fr-LU"/>
        </w:rPr>
        <w:t>Competitiveness</w:t>
      </w:r>
      <w:proofErr w:type="spellEnd"/>
      <w:r w:rsidRPr="00157322">
        <w:rPr>
          <w:rFonts w:ascii="Arial" w:hAnsi="Arial" w:cs="Arial"/>
          <w:b/>
          <w:u w:val="single"/>
          <w:lang w:val="fr-LU"/>
        </w:rPr>
        <w:t xml:space="preserve"> Report 2011-2012 » du Forum Economique Mondial</w:t>
      </w:r>
    </w:p>
    <w:p w:rsidR="00157322" w:rsidRPr="00E72284" w:rsidRDefault="00157322" w:rsidP="00157322">
      <w:pPr>
        <w:jc w:val="center"/>
        <w:rPr>
          <w:rFonts w:ascii="Arial" w:hAnsi="Arial" w:cs="Arial"/>
          <w:b/>
          <w:lang w:val="fr-LU"/>
        </w:rPr>
      </w:pPr>
    </w:p>
    <w:p w:rsidR="00157322" w:rsidRPr="00157322" w:rsidRDefault="00157322" w:rsidP="00157322">
      <w:pPr>
        <w:rPr>
          <w:rFonts w:ascii="Arial" w:hAnsi="Arial" w:cs="Arial"/>
          <w:b/>
          <w:sz w:val="32"/>
          <w:szCs w:val="32"/>
          <w:lang w:val="fr-FR"/>
        </w:rPr>
      </w:pPr>
      <w:r w:rsidRPr="00157322">
        <w:rPr>
          <w:rFonts w:ascii="Arial" w:hAnsi="Arial" w:cs="Arial"/>
          <w:b/>
          <w:sz w:val="32"/>
          <w:szCs w:val="32"/>
          <w:lang w:val="fr-LU"/>
        </w:rPr>
        <w:t>Le Luxembourg perd en un an seulement les timides progrès engrangés ces trois dernières années</w:t>
      </w:r>
      <w:r w:rsidRPr="00157322">
        <w:rPr>
          <w:rFonts w:ascii="Arial" w:hAnsi="Arial" w:cs="Arial"/>
          <w:b/>
          <w:sz w:val="32"/>
          <w:szCs w:val="32"/>
          <w:lang w:val="fr-FR"/>
        </w:rPr>
        <w:t xml:space="preserve"> en matière de compétitivité</w:t>
      </w:r>
    </w:p>
    <w:p w:rsidR="00FB3DA1" w:rsidRDefault="00FB3DA1" w:rsidP="00172C17">
      <w:pPr>
        <w:jc w:val="center"/>
        <w:rPr>
          <w:rFonts w:ascii="Arial" w:hAnsi="Arial" w:cs="Arial"/>
          <w:b/>
          <w:sz w:val="22"/>
          <w:szCs w:val="22"/>
          <w:lang w:val="fr-FR"/>
        </w:rPr>
      </w:pPr>
    </w:p>
    <w:p w:rsidR="006A602D" w:rsidRPr="00695DF3" w:rsidRDefault="00695DF3" w:rsidP="00876EB1">
      <w:pPr>
        <w:jc w:val="both"/>
        <w:rPr>
          <w:rFonts w:ascii="Arial" w:hAnsi="Arial" w:cs="Arial"/>
          <w:b/>
          <w:sz w:val="22"/>
          <w:szCs w:val="22"/>
          <w:lang w:val="fr-FR"/>
        </w:rPr>
      </w:pPr>
      <w:r w:rsidRPr="00695DF3">
        <w:rPr>
          <w:rFonts w:ascii="Arial" w:hAnsi="Arial" w:cs="Arial"/>
          <w:b/>
          <w:sz w:val="22"/>
          <w:szCs w:val="22"/>
          <w:lang w:val="fr-FR"/>
        </w:rPr>
        <w:t>En 2011, l</w:t>
      </w:r>
      <w:r w:rsidR="006A602D" w:rsidRPr="00695DF3">
        <w:rPr>
          <w:rFonts w:ascii="Arial" w:hAnsi="Arial" w:cs="Arial"/>
          <w:b/>
          <w:sz w:val="22"/>
          <w:szCs w:val="22"/>
          <w:lang w:val="fr-FR"/>
        </w:rPr>
        <w:t>e Luxembourg</w:t>
      </w:r>
      <w:r w:rsidRPr="00695DF3">
        <w:rPr>
          <w:rFonts w:ascii="Arial" w:hAnsi="Arial" w:cs="Arial"/>
          <w:b/>
          <w:sz w:val="22"/>
          <w:szCs w:val="22"/>
          <w:lang w:val="fr-FR"/>
        </w:rPr>
        <w:t xml:space="preserve"> voit </w:t>
      </w:r>
      <w:r w:rsidR="00903753">
        <w:rPr>
          <w:rFonts w:ascii="Arial" w:hAnsi="Arial" w:cs="Arial"/>
          <w:b/>
          <w:sz w:val="22"/>
          <w:szCs w:val="22"/>
          <w:lang w:val="fr-FR"/>
        </w:rPr>
        <w:t>d’</w:t>
      </w:r>
      <w:r w:rsidR="006A602D" w:rsidRPr="00695DF3">
        <w:rPr>
          <w:rFonts w:ascii="Arial" w:hAnsi="Arial" w:cs="Arial"/>
          <w:b/>
          <w:sz w:val="22"/>
          <w:szCs w:val="22"/>
          <w:lang w:val="fr-FR"/>
        </w:rPr>
        <w:t xml:space="preserve">un seul coup </w:t>
      </w:r>
      <w:r w:rsidRPr="00695DF3">
        <w:rPr>
          <w:rFonts w:ascii="Arial" w:hAnsi="Arial" w:cs="Arial"/>
          <w:b/>
          <w:sz w:val="22"/>
          <w:szCs w:val="22"/>
          <w:lang w:val="fr-FR"/>
        </w:rPr>
        <w:t>la timide amélioration de sa position compétitive observée depuis trois ans</w:t>
      </w:r>
      <w:r w:rsidR="00903753">
        <w:rPr>
          <w:rFonts w:ascii="Arial" w:hAnsi="Arial" w:cs="Arial"/>
          <w:b/>
          <w:sz w:val="22"/>
          <w:szCs w:val="22"/>
          <w:lang w:val="fr-FR"/>
        </w:rPr>
        <w:t xml:space="preserve"> </w:t>
      </w:r>
      <w:r w:rsidR="00903753" w:rsidRPr="00695DF3">
        <w:rPr>
          <w:rFonts w:ascii="Arial" w:hAnsi="Arial" w:cs="Arial"/>
          <w:b/>
          <w:sz w:val="22"/>
          <w:szCs w:val="22"/>
          <w:lang w:val="fr-FR"/>
        </w:rPr>
        <w:t>réduit</w:t>
      </w:r>
      <w:r w:rsidR="00903753">
        <w:rPr>
          <w:rFonts w:ascii="Arial" w:hAnsi="Arial" w:cs="Arial"/>
          <w:b/>
          <w:sz w:val="22"/>
          <w:szCs w:val="22"/>
          <w:lang w:val="fr-FR"/>
        </w:rPr>
        <w:t>e</w:t>
      </w:r>
      <w:r w:rsidR="00903753" w:rsidRPr="00695DF3">
        <w:rPr>
          <w:rFonts w:ascii="Arial" w:hAnsi="Arial" w:cs="Arial"/>
          <w:b/>
          <w:sz w:val="22"/>
          <w:szCs w:val="22"/>
          <w:lang w:val="fr-FR"/>
        </w:rPr>
        <w:t xml:space="preserve"> à néant</w:t>
      </w:r>
      <w:r>
        <w:rPr>
          <w:rFonts w:ascii="Arial" w:hAnsi="Arial" w:cs="Arial"/>
          <w:b/>
          <w:sz w:val="22"/>
          <w:szCs w:val="22"/>
          <w:lang w:val="fr-FR"/>
        </w:rPr>
        <w:t>, en atteignant</w:t>
      </w:r>
      <w:r w:rsidRPr="00695DF3">
        <w:rPr>
          <w:rFonts w:ascii="Arial" w:hAnsi="Arial" w:cs="Arial"/>
          <w:b/>
          <w:sz w:val="22"/>
          <w:szCs w:val="22"/>
          <w:lang w:val="fr-FR"/>
        </w:rPr>
        <w:t xml:space="preserve"> la 23</w:t>
      </w:r>
      <w:r w:rsidRPr="00695DF3">
        <w:rPr>
          <w:rFonts w:ascii="Arial" w:hAnsi="Arial" w:cs="Arial"/>
          <w:b/>
          <w:sz w:val="22"/>
          <w:szCs w:val="22"/>
          <w:vertAlign w:val="superscript"/>
          <w:lang w:val="fr-FR"/>
        </w:rPr>
        <w:t>e</w:t>
      </w:r>
      <w:r w:rsidRPr="00695DF3">
        <w:rPr>
          <w:rFonts w:ascii="Arial" w:hAnsi="Arial" w:cs="Arial"/>
          <w:b/>
          <w:sz w:val="22"/>
          <w:szCs w:val="22"/>
          <w:lang w:val="fr-FR"/>
        </w:rPr>
        <w:t xml:space="preserve"> place du classement international </w:t>
      </w:r>
      <w:r w:rsidRPr="00695DF3">
        <w:rPr>
          <w:rFonts w:ascii="Arial" w:hAnsi="Arial" w:cs="Arial"/>
          <w:b/>
          <w:sz w:val="22"/>
          <w:szCs w:val="22"/>
          <w:lang w:val="fr-LU"/>
        </w:rPr>
        <w:t xml:space="preserve">« Global </w:t>
      </w:r>
      <w:proofErr w:type="spellStart"/>
      <w:r w:rsidRPr="00695DF3">
        <w:rPr>
          <w:rFonts w:ascii="Arial" w:hAnsi="Arial" w:cs="Arial"/>
          <w:b/>
          <w:sz w:val="22"/>
          <w:szCs w:val="22"/>
          <w:lang w:val="fr-LU"/>
        </w:rPr>
        <w:t>Competitiveness</w:t>
      </w:r>
      <w:proofErr w:type="spellEnd"/>
      <w:r w:rsidRPr="00695DF3">
        <w:rPr>
          <w:rFonts w:ascii="Arial" w:hAnsi="Arial" w:cs="Arial"/>
          <w:b/>
          <w:sz w:val="22"/>
          <w:szCs w:val="22"/>
          <w:lang w:val="fr-LU"/>
        </w:rPr>
        <w:t xml:space="preserve"> Report 2011-2012 » du Forum Economique Mondial, très en</w:t>
      </w:r>
      <w:r w:rsidR="00FC724A">
        <w:rPr>
          <w:rFonts w:ascii="Arial" w:hAnsi="Arial" w:cs="Arial"/>
          <w:b/>
          <w:sz w:val="22"/>
          <w:szCs w:val="22"/>
          <w:lang w:val="fr-LU"/>
        </w:rPr>
        <w:t>-</w:t>
      </w:r>
      <w:r w:rsidRPr="00695DF3">
        <w:rPr>
          <w:rFonts w:ascii="Arial" w:hAnsi="Arial" w:cs="Arial"/>
          <w:b/>
          <w:sz w:val="22"/>
          <w:szCs w:val="22"/>
          <w:lang w:val="fr-LU"/>
        </w:rPr>
        <w:t>deçà de ses principaux partenaires économiques. Si ses qualités compétitives s’affirment au regard de certains indicateurs institutionnels et de fonctionnement de marchés des biens et services, les champs d’action liés à l’équilibre des finances publiques, à l’éducation et à la formation ainsi qu’au fonctionnement du marché du travail doivent rapidement donner lieu à des actions concrètes et correctrices de la part des pouvoirs publics pour redonner de la vigueur à la compétitivité du Grand-Duché.</w:t>
      </w:r>
    </w:p>
    <w:p w:rsidR="006A602D" w:rsidRDefault="006A602D" w:rsidP="00876EB1">
      <w:pPr>
        <w:jc w:val="both"/>
        <w:rPr>
          <w:rFonts w:ascii="Arial" w:hAnsi="Arial" w:cs="Arial"/>
          <w:sz w:val="22"/>
          <w:szCs w:val="22"/>
          <w:lang w:val="fr-FR"/>
        </w:rPr>
      </w:pPr>
    </w:p>
    <w:p w:rsidR="00915E3F" w:rsidRDefault="00D14FB1" w:rsidP="00876EB1">
      <w:pPr>
        <w:jc w:val="both"/>
        <w:rPr>
          <w:rFonts w:ascii="Arial" w:hAnsi="Arial" w:cs="Arial"/>
          <w:sz w:val="22"/>
          <w:szCs w:val="22"/>
          <w:lang w:val="fr-FR"/>
        </w:rPr>
      </w:pPr>
      <w:r>
        <w:rPr>
          <w:rFonts w:ascii="Arial" w:hAnsi="Arial" w:cs="Arial"/>
          <w:sz w:val="22"/>
          <w:szCs w:val="22"/>
          <w:lang w:val="fr-FR"/>
        </w:rPr>
        <w:t xml:space="preserve">Le rapport </w:t>
      </w:r>
      <w:r w:rsidR="002F4EC9">
        <w:rPr>
          <w:rFonts w:ascii="Arial" w:hAnsi="Arial" w:cs="Arial"/>
          <w:sz w:val="22"/>
          <w:szCs w:val="22"/>
          <w:lang w:val="fr-FR"/>
        </w:rPr>
        <w:t xml:space="preserve">« Global </w:t>
      </w:r>
      <w:proofErr w:type="spellStart"/>
      <w:r w:rsidR="002F4EC9">
        <w:rPr>
          <w:rFonts w:ascii="Arial" w:hAnsi="Arial" w:cs="Arial"/>
          <w:sz w:val="22"/>
          <w:szCs w:val="22"/>
          <w:lang w:val="fr-FR"/>
        </w:rPr>
        <w:t>Competitiv</w:t>
      </w:r>
      <w:r w:rsidR="00E46DF6">
        <w:rPr>
          <w:rFonts w:ascii="Arial" w:hAnsi="Arial" w:cs="Arial"/>
          <w:sz w:val="22"/>
          <w:szCs w:val="22"/>
          <w:lang w:val="fr-FR"/>
        </w:rPr>
        <w:t>e</w:t>
      </w:r>
      <w:r w:rsidR="002F4EC9">
        <w:rPr>
          <w:rFonts w:ascii="Arial" w:hAnsi="Arial" w:cs="Arial"/>
          <w:sz w:val="22"/>
          <w:szCs w:val="22"/>
          <w:lang w:val="fr-FR"/>
        </w:rPr>
        <w:t>ness</w:t>
      </w:r>
      <w:proofErr w:type="spellEnd"/>
      <w:r w:rsidR="002F4EC9">
        <w:rPr>
          <w:rFonts w:ascii="Arial" w:hAnsi="Arial" w:cs="Arial"/>
          <w:sz w:val="22"/>
          <w:szCs w:val="22"/>
          <w:lang w:val="fr-FR"/>
        </w:rPr>
        <w:t xml:space="preserve"> Report »</w:t>
      </w:r>
      <w:r w:rsidR="00ED477F">
        <w:rPr>
          <w:rFonts w:ascii="Arial" w:hAnsi="Arial" w:cs="Arial"/>
          <w:sz w:val="22"/>
          <w:szCs w:val="22"/>
          <w:lang w:val="fr-FR"/>
        </w:rPr>
        <w:t xml:space="preserve"> </w:t>
      </w:r>
      <w:r w:rsidR="00D92977">
        <w:rPr>
          <w:rFonts w:ascii="Arial" w:hAnsi="Arial" w:cs="Arial"/>
          <w:sz w:val="22"/>
          <w:szCs w:val="22"/>
          <w:lang w:val="fr-FR"/>
        </w:rPr>
        <w:t>201</w:t>
      </w:r>
      <w:r w:rsidR="00FC5396">
        <w:rPr>
          <w:rFonts w:ascii="Arial" w:hAnsi="Arial" w:cs="Arial"/>
          <w:sz w:val="22"/>
          <w:szCs w:val="22"/>
          <w:lang w:val="fr-FR"/>
        </w:rPr>
        <w:t>1</w:t>
      </w:r>
      <w:r w:rsidR="00D92977">
        <w:rPr>
          <w:rFonts w:ascii="Arial" w:hAnsi="Arial" w:cs="Arial"/>
          <w:sz w:val="22"/>
          <w:szCs w:val="22"/>
          <w:lang w:val="fr-FR"/>
        </w:rPr>
        <w:t>/201</w:t>
      </w:r>
      <w:r w:rsidR="00FC5396">
        <w:rPr>
          <w:rFonts w:ascii="Arial" w:hAnsi="Arial" w:cs="Arial"/>
          <w:sz w:val="22"/>
          <w:szCs w:val="22"/>
          <w:lang w:val="fr-FR"/>
        </w:rPr>
        <w:t>2</w:t>
      </w:r>
      <w:r>
        <w:rPr>
          <w:rFonts w:ascii="Arial" w:hAnsi="Arial" w:cs="Arial"/>
          <w:sz w:val="22"/>
          <w:szCs w:val="22"/>
          <w:lang w:val="fr-FR"/>
        </w:rPr>
        <w:t xml:space="preserve"> du </w:t>
      </w:r>
      <w:r w:rsidRPr="00157322">
        <w:rPr>
          <w:rFonts w:ascii="Arial" w:hAnsi="Arial" w:cs="Arial"/>
          <w:i/>
          <w:sz w:val="22"/>
          <w:szCs w:val="22"/>
          <w:lang w:val="fr-FR"/>
        </w:rPr>
        <w:t xml:space="preserve">World </w:t>
      </w:r>
      <w:proofErr w:type="spellStart"/>
      <w:r w:rsidRPr="00157322">
        <w:rPr>
          <w:rFonts w:ascii="Arial" w:hAnsi="Arial" w:cs="Arial"/>
          <w:i/>
          <w:sz w:val="22"/>
          <w:szCs w:val="22"/>
          <w:lang w:val="fr-FR"/>
        </w:rPr>
        <w:t>Economic</w:t>
      </w:r>
      <w:proofErr w:type="spellEnd"/>
      <w:r w:rsidRPr="00157322">
        <w:rPr>
          <w:rFonts w:ascii="Arial" w:hAnsi="Arial" w:cs="Arial"/>
          <w:i/>
          <w:sz w:val="22"/>
          <w:szCs w:val="22"/>
          <w:lang w:val="fr-FR"/>
        </w:rPr>
        <w:t xml:space="preserve"> Forum</w:t>
      </w:r>
      <w:r w:rsidRPr="00157322">
        <w:rPr>
          <w:rFonts w:ascii="Arial" w:hAnsi="Arial" w:cs="Arial"/>
          <w:sz w:val="22"/>
          <w:szCs w:val="22"/>
          <w:lang w:val="fr-FR"/>
        </w:rPr>
        <w:t xml:space="preserve"> </w:t>
      </w:r>
      <w:r w:rsidR="00FC5396">
        <w:rPr>
          <w:rFonts w:ascii="Arial" w:hAnsi="Arial" w:cs="Arial"/>
          <w:sz w:val="22"/>
          <w:szCs w:val="22"/>
          <w:lang w:val="fr-FR"/>
        </w:rPr>
        <w:t>réalise un classement international annuel en matière de compétitivité des pays</w:t>
      </w:r>
      <w:r>
        <w:rPr>
          <w:rFonts w:ascii="Arial" w:hAnsi="Arial" w:cs="Arial"/>
          <w:sz w:val="22"/>
          <w:szCs w:val="22"/>
          <w:lang w:val="fr-FR"/>
        </w:rPr>
        <w:t xml:space="preserve">, </w:t>
      </w:r>
      <w:r w:rsidR="00FC5396">
        <w:rPr>
          <w:rFonts w:ascii="Arial" w:hAnsi="Arial" w:cs="Arial"/>
          <w:sz w:val="22"/>
          <w:szCs w:val="22"/>
          <w:lang w:val="fr-FR"/>
        </w:rPr>
        <w:t xml:space="preserve">et ce </w:t>
      </w:r>
      <w:r>
        <w:rPr>
          <w:rFonts w:ascii="Arial" w:hAnsi="Arial" w:cs="Arial"/>
          <w:sz w:val="22"/>
          <w:szCs w:val="22"/>
          <w:lang w:val="fr-FR"/>
        </w:rPr>
        <w:t>sur base d’indicateurs statistiques et de l’opinion des décideurs économiques et des dirigea</w:t>
      </w:r>
      <w:r w:rsidR="008811D2">
        <w:rPr>
          <w:rFonts w:ascii="Arial" w:hAnsi="Arial" w:cs="Arial"/>
          <w:sz w:val="22"/>
          <w:szCs w:val="22"/>
          <w:lang w:val="fr-FR"/>
        </w:rPr>
        <w:t>nts d’entreprises</w:t>
      </w:r>
      <w:r w:rsidR="00D92977">
        <w:rPr>
          <w:rFonts w:ascii="Arial" w:hAnsi="Arial" w:cs="Arial"/>
          <w:sz w:val="22"/>
          <w:szCs w:val="22"/>
          <w:lang w:val="fr-FR"/>
        </w:rPr>
        <w:t xml:space="preserve">. </w:t>
      </w:r>
      <w:r w:rsidR="00FC5396">
        <w:rPr>
          <w:rFonts w:ascii="Arial" w:hAnsi="Arial" w:cs="Arial"/>
          <w:sz w:val="22"/>
          <w:szCs w:val="22"/>
          <w:lang w:val="fr-FR"/>
        </w:rPr>
        <w:t>Ce rapport est l’un des principaux du genre à l’échelle mondiale</w:t>
      </w:r>
      <w:r w:rsidR="00C9204D">
        <w:rPr>
          <w:rStyle w:val="FootnoteReference"/>
          <w:rFonts w:ascii="Arial" w:hAnsi="Arial" w:cs="Arial"/>
          <w:sz w:val="22"/>
          <w:szCs w:val="22"/>
          <w:lang w:val="fr-FR"/>
        </w:rPr>
        <w:footnoteReference w:id="1"/>
      </w:r>
      <w:r w:rsidR="00FC5396">
        <w:rPr>
          <w:rFonts w:ascii="Arial" w:hAnsi="Arial" w:cs="Arial"/>
          <w:sz w:val="22"/>
          <w:szCs w:val="22"/>
          <w:lang w:val="fr-FR"/>
        </w:rPr>
        <w:t>.</w:t>
      </w:r>
      <w:r>
        <w:rPr>
          <w:rFonts w:ascii="Arial" w:hAnsi="Arial" w:cs="Arial"/>
          <w:sz w:val="22"/>
          <w:szCs w:val="22"/>
          <w:lang w:val="fr-FR"/>
        </w:rPr>
        <w:t xml:space="preserve"> </w:t>
      </w:r>
      <w:r w:rsidR="00915E3F">
        <w:rPr>
          <w:rFonts w:ascii="Arial" w:hAnsi="Arial" w:cs="Arial"/>
          <w:sz w:val="22"/>
          <w:szCs w:val="22"/>
          <w:lang w:val="fr-FR"/>
        </w:rPr>
        <w:t xml:space="preserve"> </w:t>
      </w:r>
    </w:p>
    <w:p w:rsidR="00915E3F" w:rsidRDefault="00915E3F" w:rsidP="00876EB1">
      <w:pPr>
        <w:jc w:val="both"/>
        <w:rPr>
          <w:rFonts w:ascii="Arial" w:hAnsi="Arial" w:cs="Arial"/>
          <w:sz w:val="22"/>
          <w:szCs w:val="22"/>
          <w:lang w:val="fr-FR"/>
        </w:rPr>
      </w:pPr>
    </w:p>
    <w:p w:rsidR="00172C17" w:rsidRDefault="00FC5396" w:rsidP="00876EB1">
      <w:pPr>
        <w:jc w:val="both"/>
        <w:rPr>
          <w:rFonts w:ascii="Arial" w:hAnsi="Arial" w:cs="Arial"/>
          <w:sz w:val="22"/>
          <w:szCs w:val="22"/>
          <w:lang w:val="fr-FR"/>
        </w:rPr>
      </w:pPr>
      <w:r>
        <w:rPr>
          <w:rFonts w:ascii="Arial" w:hAnsi="Arial" w:cs="Arial"/>
          <w:sz w:val="22"/>
          <w:szCs w:val="22"/>
          <w:lang w:val="fr-FR"/>
        </w:rPr>
        <w:t>L’édition 2011-2012 est un mauvais cru pour l</w:t>
      </w:r>
      <w:r w:rsidR="0035309E">
        <w:rPr>
          <w:rFonts w:ascii="Arial" w:hAnsi="Arial" w:cs="Arial"/>
          <w:sz w:val="22"/>
          <w:szCs w:val="22"/>
          <w:lang w:val="fr-FR"/>
        </w:rPr>
        <w:t xml:space="preserve">e Grand-Duché de </w:t>
      </w:r>
      <w:r>
        <w:rPr>
          <w:rFonts w:ascii="Arial" w:hAnsi="Arial" w:cs="Arial"/>
          <w:sz w:val="22"/>
          <w:szCs w:val="22"/>
          <w:lang w:val="fr-FR"/>
        </w:rPr>
        <w:t xml:space="preserve">Luxembourg puisque ce dernier </w:t>
      </w:r>
      <w:r w:rsidR="00915E3F">
        <w:rPr>
          <w:rFonts w:ascii="Arial" w:hAnsi="Arial" w:cs="Arial"/>
          <w:sz w:val="22"/>
          <w:szCs w:val="22"/>
          <w:lang w:val="fr-FR"/>
        </w:rPr>
        <w:t>recule</w:t>
      </w:r>
      <w:r>
        <w:rPr>
          <w:rFonts w:ascii="Arial" w:hAnsi="Arial" w:cs="Arial"/>
          <w:sz w:val="22"/>
          <w:szCs w:val="22"/>
          <w:lang w:val="fr-FR"/>
        </w:rPr>
        <w:t xml:space="preserve"> de trois </w:t>
      </w:r>
      <w:r w:rsidR="00C9204D">
        <w:rPr>
          <w:rFonts w:ascii="Arial" w:hAnsi="Arial" w:cs="Arial"/>
          <w:sz w:val="22"/>
          <w:szCs w:val="22"/>
          <w:lang w:val="fr-FR"/>
        </w:rPr>
        <w:t>place</w:t>
      </w:r>
      <w:r>
        <w:rPr>
          <w:rFonts w:ascii="Arial" w:hAnsi="Arial" w:cs="Arial"/>
          <w:sz w:val="22"/>
          <w:szCs w:val="22"/>
          <w:lang w:val="fr-FR"/>
        </w:rPr>
        <w:t>s d</w:t>
      </w:r>
      <w:r w:rsidR="0035309E">
        <w:rPr>
          <w:rFonts w:ascii="Arial" w:hAnsi="Arial" w:cs="Arial"/>
          <w:sz w:val="22"/>
          <w:szCs w:val="22"/>
          <w:lang w:val="fr-FR"/>
        </w:rPr>
        <w:t>ans le classement intern</w:t>
      </w:r>
      <w:r w:rsidR="008811D2">
        <w:rPr>
          <w:rFonts w:ascii="Arial" w:hAnsi="Arial" w:cs="Arial"/>
          <w:sz w:val="22"/>
          <w:szCs w:val="22"/>
          <w:lang w:val="fr-FR"/>
        </w:rPr>
        <w:t>ational des économies</w:t>
      </w:r>
      <w:r w:rsidR="00B329FA">
        <w:rPr>
          <w:rFonts w:ascii="Arial" w:hAnsi="Arial" w:cs="Arial"/>
          <w:sz w:val="22"/>
          <w:szCs w:val="22"/>
          <w:lang w:val="fr-FR"/>
        </w:rPr>
        <w:t xml:space="preserve"> les plus compétitives</w:t>
      </w:r>
      <w:r w:rsidR="00C9204D">
        <w:rPr>
          <w:rFonts w:ascii="Arial" w:hAnsi="Arial" w:cs="Arial"/>
          <w:sz w:val="22"/>
          <w:szCs w:val="22"/>
          <w:lang w:val="fr-FR"/>
        </w:rPr>
        <w:t xml:space="preserve"> pour se placer à la 23</w:t>
      </w:r>
      <w:r w:rsidR="00C9204D" w:rsidRPr="00C9204D">
        <w:rPr>
          <w:rFonts w:ascii="Arial" w:hAnsi="Arial" w:cs="Arial"/>
          <w:sz w:val="22"/>
          <w:szCs w:val="22"/>
          <w:vertAlign w:val="superscript"/>
          <w:lang w:val="fr-FR"/>
        </w:rPr>
        <w:t>e</w:t>
      </w:r>
      <w:r w:rsidR="00C9204D">
        <w:rPr>
          <w:rFonts w:ascii="Arial" w:hAnsi="Arial" w:cs="Arial"/>
          <w:sz w:val="22"/>
          <w:szCs w:val="22"/>
          <w:lang w:val="fr-FR"/>
        </w:rPr>
        <w:t xml:space="preserve"> position de ce classement</w:t>
      </w:r>
      <w:r w:rsidR="003B0D79">
        <w:rPr>
          <w:rFonts w:ascii="Arial" w:hAnsi="Arial" w:cs="Arial"/>
          <w:sz w:val="22"/>
          <w:szCs w:val="22"/>
          <w:lang w:val="fr-FR"/>
        </w:rPr>
        <w:t>. Si l’édition de l’année dernière</w:t>
      </w:r>
      <w:r>
        <w:rPr>
          <w:rFonts w:ascii="Arial" w:hAnsi="Arial" w:cs="Arial"/>
          <w:sz w:val="22"/>
          <w:szCs w:val="22"/>
          <w:lang w:val="fr-FR"/>
        </w:rPr>
        <w:t xml:space="preserve"> soulignait un piétinement </w:t>
      </w:r>
      <w:r w:rsidR="003B0D79">
        <w:rPr>
          <w:rFonts w:ascii="Arial" w:hAnsi="Arial" w:cs="Arial"/>
          <w:sz w:val="22"/>
          <w:szCs w:val="22"/>
          <w:lang w:val="fr-FR"/>
        </w:rPr>
        <w:t xml:space="preserve">du pays </w:t>
      </w:r>
      <w:r w:rsidR="00C9204D">
        <w:rPr>
          <w:rFonts w:ascii="Arial" w:hAnsi="Arial" w:cs="Arial"/>
          <w:sz w:val="22"/>
          <w:szCs w:val="22"/>
          <w:lang w:val="fr-FR"/>
        </w:rPr>
        <w:t>en termes de compétitivité</w:t>
      </w:r>
      <w:r w:rsidR="00C9204D">
        <w:rPr>
          <w:rStyle w:val="FootnoteReference"/>
          <w:rFonts w:ascii="Arial" w:hAnsi="Arial" w:cs="Arial"/>
          <w:sz w:val="22"/>
          <w:szCs w:val="22"/>
          <w:lang w:val="fr-FR"/>
        </w:rPr>
        <w:footnoteReference w:id="2"/>
      </w:r>
      <w:r w:rsidR="00C9204D">
        <w:rPr>
          <w:rFonts w:ascii="Arial" w:hAnsi="Arial" w:cs="Arial"/>
          <w:sz w:val="22"/>
          <w:szCs w:val="22"/>
          <w:lang w:val="fr-FR"/>
        </w:rPr>
        <w:t xml:space="preserve"> de son économie (progression de la 21</w:t>
      </w:r>
      <w:r w:rsidR="00C9204D" w:rsidRPr="00C9204D">
        <w:rPr>
          <w:rFonts w:ascii="Arial" w:hAnsi="Arial" w:cs="Arial"/>
          <w:sz w:val="22"/>
          <w:szCs w:val="22"/>
          <w:vertAlign w:val="superscript"/>
          <w:lang w:val="fr-FR"/>
        </w:rPr>
        <w:t>e</w:t>
      </w:r>
      <w:r w:rsidR="00C9204D">
        <w:rPr>
          <w:rFonts w:ascii="Arial" w:hAnsi="Arial" w:cs="Arial"/>
          <w:sz w:val="22"/>
          <w:szCs w:val="22"/>
          <w:lang w:val="fr-FR"/>
        </w:rPr>
        <w:t xml:space="preserve"> à la 20</w:t>
      </w:r>
      <w:r w:rsidR="00C9204D" w:rsidRPr="00C9204D">
        <w:rPr>
          <w:rFonts w:ascii="Arial" w:hAnsi="Arial" w:cs="Arial"/>
          <w:sz w:val="22"/>
          <w:szCs w:val="22"/>
          <w:vertAlign w:val="superscript"/>
          <w:lang w:val="fr-FR"/>
        </w:rPr>
        <w:t>e</w:t>
      </w:r>
      <w:r w:rsidR="00C9204D">
        <w:rPr>
          <w:rFonts w:ascii="Arial" w:hAnsi="Arial" w:cs="Arial"/>
          <w:sz w:val="22"/>
          <w:szCs w:val="22"/>
          <w:lang w:val="fr-FR"/>
        </w:rPr>
        <w:t xml:space="preserve"> position au niveau mondial)</w:t>
      </w:r>
      <w:r w:rsidR="008811D2">
        <w:rPr>
          <w:rFonts w:ascii="Arial" w:hAnsi="Arial" w:cs="Arial"/>
          <w:sz w:val="22"/>
          <w:szCs w:val="22"/>
          <w:lang w:val="fr-FR"/>
        </w:rPr>
        <w:t xml:space="preserve">, </w:t>
      </w:r>
      <w:r>
        <w:rPr>
          <w:rFonts w:ascii="Arial" w:hAnsi="Arial" w:cs="Arial"/>
          <w:sz w:val="22"/>
          <w:szCs w:val="22"/>
          <w:lang w:val="fr-FR"/>
        </w:rPr>
        <w:t xml:space="preserve">le présent rapport ne peut que </w:t>
      </w:r>
      <w:r w:rsidR="003B0D79">
        <w:rPr>
          <w:rFonts w:ascii="Arial" w:hAnsi="Arial" w:cs="Arial"/>
          <w:sz w:val="22"/>
          <w:szCs w:val="22"/>
          <w:lang w:val="fr-FR"/>
        </w:rPr>
        <w:t xml:space="preserve">décevoir quant à la perte de vitesse manifeste que le Luxembourg subit dans la </w:t>
      </w:r>
      <w:r w:rsidR="003B0D79">
        <w:rPr>
          <w:rFonts w:ascii="Arial" w:hAnsi="Arial" w:cs="Arial"/>
          <w:sz w:val="22"/>
          <w:szCs w:val="22"/>
          <w:lang w:val="fr-FR"/>
        </w:rPr>
        <w:lastRenderedPageBreak/>
        <w:t xml:space="preserve">compétition mondiale et </w:t>
      </w:r>
      <w:r w:rsidR="00915E3F">
        <w:rPr>
          <w:rFonts w:ascii="Arial" w:hAnsi="Arial" w:cs="Arial"/>
          <w:sz w:val="22"/>
          <w:szCs w:val="22"/>
          <w:lang w:val="fr-FR"/>
        </w:rPr>
        <w:t>en comparaison européenne</w:t>
      </w:r>
      <w:r w:rsidR="00202312">
        <w:rPr>
          <w:rFonts w:ascii="Arial" w:hAnsi="Arial" w:cs="Arial"/>
          <w:sz w:val="22"/>
          <w:szCs w:val="22"/>
          <w:lang w:val="fr-FR"/>
        </w:rPr>
        <w:t xml:space="preserve">. </w:t>
      </w:r>
      <w:r w:rsidR="003B0D79">
        <w:rPr>
          <w:rFonts w:ascii="Arial" w:hAnsi="Arial" w:cs="Arial"/>
          <w:sz w:val="22"/>
          <w:szCs w:val="22"/>
          <w:lang w:val="fr-FR"/>
        </w:rPr>
        <w:t xml:space="preserve">La dégradation </w:t>
      </w:r>
      <w:r w:rsidR="00FF5807">
        <w:rPr>
          <w:rFonts w:ascii="Arial" w:hAnsi="Arial" w:cs="Arial"/>
          <w:sz w:val="22"/>
          <w:szCs w:val="22"/>
          <w:lang w:val="fr-FR"/>
        </w:rPr>
        <w:t>cette année, de la 20</w:t>
      </w:r>
      <w:r w:rsidR="00645ABC" w:rsidRPr="00645ABC">
        <w:rPr>
          <w:rFonts w:ascii="Arial" w:hAnsi="Arial" w:cs="Arial"/>
          <w:sz w:val="22"/>
          <w:szCs w:val="22"/>
          <w:vertAlign w:val="superscript"/>
          <w:lang w:val="fr-FR"/>
        </w:rPr>
        <w:t>e</w:t>
      </w:r>
      <w:r w:rsidR="00FF5807">
        <w:rPr>
          <w:rFonts w:ascii="Arial" w:hAnsi="Arial" w:cs="Arial"/>
          <w:sz w:val="22"/>
          <w:szCs w:val="22"/>
          <w:lang w:val="fr-FR"/>
        </w:rPr>
        <w:t xml:space="preserve"> à la 23</w:t>
      </w:r>
      <w:r w:rsidR="00645ABC" w:rsidRPr="00645ABC">
        <w:rPr>
          <w:rFonts w:ascii="Arial" w:hAnsi="Arial" w:cs="Arial"/>
          <w:sz w:val="22"/>
          <w:szCs w:val="22"/>
          <w:vertAlign w:val="superscript"/>
          <w:lang w:val="fr-FR"/>
        </w:rPr>
        <w:t>e</w:t>
      </w:r>
      <w:r w:rsidR="00FF5807">
        <w:rPr>
          <w:rFonts w:ascii="Arial" w:hAnsi="Arial" w:cs="Arial"/>
          <w:sz w:val="22"/>
          <w:szCs w:val="22"/>
          <w:lang w:val="fr-FR"/>
        </w:rPr>
        <w:t xml:space="preserve"> place mondiale, </w:t>
      </w:r>
      <w:r w:rsidR="003B0D79">
        <w:rPr>
          <w:rFonts w:ascii="Arial" w:hAnsi="Arial" w:cs="Arial"/>
          <w:sz w:val="22"/>
          <w:szCs w:val="22"/>
          <w:lang w:val="fr-FR"/>
        </w:rPr>
        <w:t>prend une signification particulière dans le contexte d’extrême incertitude et de crise de confiance qui prévaut depuis des mois, que ce soit en Europe et au niveau international</w:t>
      </w:r>
      <w:r w:rsidR="0035309E">
        <w:rPr>
          <w:rFonts w:ascii="Arial" w:hAnsi="Arial" w:cs="Arial"/>
          <w:sz w:val="22"/>
          <w:szCs w:val="22"/>
          <w:lang w:val="fr-FR"/>
        </w:rPr>
        <w:t>.</w:t>
      </w:r>
    </w:p>
    <w:p w:rsidR="00BC3143" w:rsidRDefault="00BC3143" w:rsidP="00876EB1">
      <w:pPr>
        <w:jc w:val="both"/>
        <w:rPr>
          <w:rFonts w:ascii="Arial" w:hAnsi="Arial" w:cs="Arial"/>
          <w:sz w:val="22"/>
          <w:szCs w:val="22"/>
          <w:lang w:val="fr-FR"/>
        </w:rPr>
      </w:pPr>
    </w:p>
    <w:p w:rsidR="00D14FB1" w:rsidRDefault="00915E3F" w:rsidP="00876EB1">
      <w:pPr>
        <w:jc w:val="both"/>
        <w:rPr>
          <w:rFonts w:ascii="Arial" w:hAnsi="Arial" w:cs="Arial"/>
          <w:sz w:val="22"/>
          <w:szCs w:val="22"/>
          <w:lang w:val="fr-FR"/>
        </w:rPr>
      </w:pPr>
      <w:r>
        <w:rPr>
          <w:rFonts w:ascii="Arial" w:hAnsi="Arial" w:cs="Arial"/>
          <w:sz w:val="22"/>
          <w:szCs w:val="22"/>
          <w:lang w:val="fr-FR"/>
        </w:rPr>
        <w:t xml:space="preserve">Une fois de plus, c’est la Suisse qui </w:t>
      </w:r>
      <w:r w:rsidR="00C9204D">
        <w:rPr>
          <w:rFonts w:ascii="Arial" w:hAnsi="Arial" w:cs="Arial"/>
          <w:sz w:val="22"/>
          <w:szCs w:val="22"/>
          <w:lang w:val="fr-FR"/>
        </w:rPr>
        <w:t>se positionne sur</w:t>
      </w:r>
      <w:r>
        <w:rPr>
          <w:rFonts w:ascii="Arial" w:hAnsi="Arial" w:cs="Arial"/>
          <w:sz w:val="22"/>
          <w:szCs w:val="22"/>
          <w:lang w:val="fr-FR"/>
        </w:rPr>
        <w:t xml:space="preserve"> la première marche du podium</w:t>
      </w:r>
      <w:r w:rsidR="00CA5306">
        <w:rPr>
          <w:rFonts w:ascii="Arial" w:hAnsi="Arial" w:cs="Arial"/>
          <w:sz w:val="22"/>
          <w:szCs w:val="22"/>
          <w:lang w:val="fr-FR"/>
        </w:rPr>
        <w:t>, suivie de Singapour et de la S</w:t>
      </w:r>
      <w:r>
        <w:rPr>
          <w:rFonts w:ascii="Arial" w:hAnsi="Arial" w:cs="Arial"/>
          <w:sz w:val="22"/>
          <w:szCs w:val="22"/>
          <w:lang w:val="fr-FR"/>
        </w:rPr>
        <w:t xml:space="preserve">uède. Les pays européens sont particulièrement présents </w:t>
      </w:r>
      <w:r w:rsidR="00C9204D">
        <w:rPr>
          <w:rFonts w:ascii="Arial" w:hAnsi="Arial" w:cs="Arial"/>
          <w:sz w:val="22"/>
          <w:szCs w:val="22"/>
          <w:lang w:val="fr-FR"/>
        </w:rPr>
        <w:t>sur</w:t>
      </w:r>
      <w:r>
        <w:rPr>
          <w:rFonts w:ascii="Arial" w:hAnsi="Arial" w:cs="Arial"/>
          <w:sz w:val="22"/>
          <w:szCs w:val="22"/>
          <w:lang w:val="fr-FR"/>
        </w:rPr>
        <w:t xml:space="preserve"> les dix premières places du classement international (Finlande en 4</w:t>
      </w:r>
      <w:r w:rsidRPr="00915E3F">
        <w:rPr>
          <w:rFonts w:ascii="Arial" w:hAnsi="Arial" w:cs="Arial"/>
          <w:sz w:val="22"/>
          <w:szCs w:val="22"/>
          <w:vertAlign w:val="superscript"/>
          <w:lang w:val="fr-FR"/>
        </w:rPr>
        <w:t>e</w:t>
      </w:r>
      <w:r>
        <w:rPr>
          <w:rFonts w:ascii="Arial" w:hAnsi="Arial" w:cs="Arial"/>
          <w:sz w:val="22"/>
          <w:szCs w:val="22"/>
          <w:lang w:val="fr-FR"/>
        </w:rPr>
        <w:t xml:space="preserve"> position, Allemagne en 6</w:t>
      </w:r>
      <w:r w:rsidRPr="00915E3F">
        <w:rPr>
          <w:rFonts w:ascii="Arial" w:hAnsi="Arial" w:cs="Arial"/>
          <w:sz w:val="22"/>
          <w:szCs w:val="22"/>
          <w:vertAlign w:val="superscript"/>
          <w:lang w:val="fr-FR"/>
        </w:rPr>
        <w:t>e</w:t>
      </w:r>
      <w:r>
        <w:rPr>
          <w:rFonts w:ascii="Arial" w:hAnsi="Arial" w:cs="Arial"/>
          <w:sz w:val="22"/>
          <w:szCs w:val="22"/>
          <w:lang w:val="fr-FR"/>
        </w:rPr>
        <w:t>, Danemark en 8</w:t>
      </w:r>
      <w:r w:rsidRPr="00915E3F">
        <w:rPr>
          <w:rFonts w:ascii="Arial" w:hAnsi="Arial" w:cs="Arial"/>
          <w:sz w:val="22"/>
          <w:szCs w:val="22"/>
          <w:vertAlign w:val="superscript"/>
          <w:lang w:val="fr-FR"/>
        </w:rPr>
        <w:t>e</w:t>
      </w:r>
      <w:r>
        <w:rPr>
          <w:rFonts w:ascii="Arial" w:hAnsi="Arial" w:cs="Arial"/>
          <w:sz w:val="22"/>
          <w:szCs w:val="22"/>
          <w:lang w:val="fr-FR"/>
        </w:rPr>
        <w:t>), ce qui rend le 23</w:t>
      </w:r>
      <w:r w:rsidRPr="00915E3F">
        <w:rPr>
          <w:rFonts w:ascii="Arial" w:hAnsi="Arial" w:cs="Arial"/>
          <w:sz w:val="22"/>
          <w:szCs w:val="22"/>
          <w:vertAlign w:val="superscript"/>
          <w:lang w:val="fr-FR"/>
        </w:rPr>
        <w:t>e</w:t>
      </w:r>
      <w:r>
        <w:rPr>
          <w:rFonts w:ascii="Arial" w:hAnsi="Arial" w:cs="Arial"/>
          <w:sz w:val="22"/>
          <w:szCs w:val="22"/>
          <w:lang w:val="fr-FR"/>
        </w:rPr>
        <w:t xml:space="preserve"> rang du Luxembourg pour le moins très décevant. Cette année encore, le Grand-Duché se retrouve </w:t>
      </w:r>
      <w:r w:rsidR="00FF5807">
        <w:rPr>
          <w:rFonts w:ascii="Arial" w:hAnsi="Arial" w:cs="Arial"/>
          <w:sz w:val="22"/>
          <w:szCs w:val="22"/>
          <w:lang w:val="fr-FR"/>
        </w:rPr>
        <w:t>très mal placé</w:t>
      </w:r>
      <w:r>
        <w:rPr>
          <w:rFonts w:ascii="Arial" w:hAnsi="Arial" w:cs="Arial"/>
          <w:sz w:val="22"/>
          <w:szCs w:val="22"/>
          <w:lang w:val="fr-FR"/>
        </w:rPr>
        <w:t xml:space="preserve"> en comparaison de ses partenaires économiques et commerciaux de la Grande</w:t>
      </w:r>
      <w:r w:rsidR="00FF5807">
        <w:rPr>
          <w:rFonts w:ascii="Arial" w:hAnsi="Arial" w:cs="Arial"/>
          <w:sz w:val="22"/>
          <w:szCs w:val="22"/>
          <w:lang w:val="fr-FR"/>
        </w:rPr>
        <w:t xml:space="preserve"> Région</w:t>
      </w:r>
      <w:r w:rsidR="00D92977">
        <w:rPr>
          <w:rFonts w:ascii="Arial" w:hAnsi="Arial" w:cs="Arial"/>
          <w:sz w:val="22"/>
          <w:szCs w:val="22"/>
          <w:lang w:val="fr-FR"/>
        </w:rPr>
        <w:t xml:space="preserve">. </w:t>
      </w:r>
    </w:p>
    <w:p w:rsidR="00D14FB1" w:rsidRDefault="00D14FB1" w:rsidP="00876EB1">
      <w:pPr>
        <w:jc w:val="both"/>
        <w:rPr>
          <w:rFonts w:ascii="Arial" w:hAnsi="Arial" w:cs="Arial"/>
          <w:i/>
          <w:sz w:val="22"/>
          <w:szCs w:val="22"/>
          <w:lang w:val="fr-FR"/>
        </w:rPr>
      </w:pPr>
    </w:p>
    <w:p w:rsidR="00D92977" w:rsidRDefault="00D92977" w:rsidP="00876EB1">
      <w:pPr>
        <w:jc w:val="both"/>
        <w:rPr>
          <w:rFonts w:ascii="Arial" w:hAnsi="Arial" w:cs="Arial"/>
          <w:b/>
          <w:sz w:val="22"/>
          <w:szCs w:val="22"/>
          <w:u w:val="single"/>
          <w:lang w:val="fr-FR"/>
        </w:rPr>
      </w:pPr>
      <w:r w:rsidRPr="00B329FA">
        <w:rPr>
          <w:rFonts w:ascii="Arial" w:hAnsi="Arial" w:cs="Arial"/>
          <w:b/>
          <w:sz w:val="22"/>
          <w:szCs w:val="22"/>
          <w:u w:val="single"/>
          <w:lang w:val="fr-FR"/>
        </w:rPr>
        <w:t>Graphique_1 : Le classement du Luxembourg par rapport à ses principaux partenaires économiques</w:t>
      </w:r>
    </w:p>
    <w:p w:rsidR="003C5B1D" w:rsidRPr="00B329FA" w:rsidRDefault="003C5B1D" w:rsidP="00876EB1">
      <w:pPr>
        <w:jc w:val="both"/>
        <w:rPr>
          <w:rFonts w:ascii="Arial" w:hAnsi="Arial" w:cs="Arial"/>
          <w:b/>
          <w:sz w:val="22"/>
          <w:szCs w:val="22"/>
          <w:u w:val="single"/>
          <w:lang w:val="fr-FR"/>
        </w:rPr>
      </w:pPr>
    </w:p>
    <w:p w:rsidR="00D14FB1" w:rsidRDefault="001F5F61" w:rsidP="008811D2">
      <w:pPr>
        <w:jc w:val="center"/>
        <w:rPr>
          <w:szCs w:val="22"/>
        </w:rPr>
      </w:pPr>
      <w:r w:rsidRPr="001F5F61">
        <w:rPr>
          <w:noProof/>
          <w:szCs w:val="22"/>
        </w:rPr>
        <w:drawing>
          <wp:inline distT="0" distB="0" distL="0" distR="0">
            <wp:extent cx="5757054" cy="3051954"/>
            <wp:effectExtent l="57150" t="19050" r="34146"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7D12" w:rsidRDefault="00157D12" w:rsidP="00876EB1">
      <w:pPr>
        <w:jc w:val="both"/>
        <w:rPr>
          <w:rFonts w:ascii="Arial" w:hAnsi="Arial" w:cs="Arial"/>
          <w:sz w:val="22"/>
          <w:szCs w:val="22"/>
        </w:rPr>
      </w:pPr>
    </w:p>
    <w:p w:rsidR="00216746" w:rsidRDefault="00216746" w:rsidP="00216746">
      <w:pPr>
        <w:jc w:val="both"/>
        <w:rPr>
          <w:rFonts w:ascii="Arial" w:hAnsi="Arial" w:cs="Arial"/>
          <w:b/>
          <w:sz w:val="22"/>
          <w:szCs w:val="22"/>
          <w:lang w:val="fr-FR"/>
        </w:rPr>
      </w:pPr>
      <w:r w:rsidRPr="00B47AE0">
        <w:rPr>
          <w:rFonts w:ascii="Arial" w:hAnsi="Arial" w:cs="Arial"/>
          <w:b/>
          <w:sz w:val="22"/>
          <w:szCs w:val="22"/>
          <w:lang w:val="fr-FR"/>
        </w:rPr>
        <w:t xml:space="preserve">Le bilan </w:t>
      </w:r>
      <w:r w:rsidR="00B37D64">
        <w:rPr>
          <w:rFonts w:ascii="Arial" w:hAnsi="Arial" w:cs="Arial"/>
          <w:b/>
          <w:sz w:val="22"/>
          <w:szCs w:val="22"/>
          <w:lang w:val="fr-FR"/>
        </w:rPr>
        <w:t>« </w:t>
      </w:r>
      <w:r w:rsidRPr="00B47AE0">
        <w:rPr>
          <w:rFonts w:ascii="Arial" w:hAnsi="Arial" w:cs="Arial"/>
          <w:b/>
          <w:sz w:val="22"/>
          <w:szCs w:val="22"/>
          <w:lang w:val="fr-FR"/>
        </w:rPr>
        <w:t>compétiti</w:t>
      </w:r>
      <w:r w:rsidR="00B37D64">
        <w:rPr>
          <w:rFonts w:ascii="Arial" w:hAnsi="Arial" w:cs="Arial"/>
          <w:b/>
          <w:sz w:val="22"/>
          <w:szCs w:val="22"/>
          <w:lang w:val="fr-FR"/>
        </w:rPr>
        <w:t>vité »</w:t>
      </w:r>
      <w:r w:rsidRPr="00B47AE0">
        <w:rPr>
          <w:rFonts w:ascii="Arial" w:hAnsi="Arial" w:cs="Arial"/>
          <w:b/>
          <w:sz w:val="22"/>
          <w:szCs w:val="22"/>
          <w:lang w:val="fr-FR"/>
        </w:rPr>
        <w:t xml:space="preserve"> de l’économie luxembourgeoise</w:t>
      </w:r>
    </w:p>
    <w:p w:rsidR="00216746" w:rsidRPr="00B47AE0" w:rsidRDefault="00216746" w:rsidP="00216746">
      <w:pPr>
        <w:jc w:val="both"/>
        <w:rPr>
          <w:rFonts w:ascii="Arial" w:hAnsi="Arial" w:cs="Arial"/>
          <w:b/>
          <w:sz w:val="22"/>
          <w:szCs w:val="22"/>
          <w:lang w:val="fr-FR"/>
        </w:rPr>
      </w:pPr>
    </w:p>
    <w:p w:rsidR="00E266C2" w:rsidRDefault="00E266C2" w:rsidP="00E266C2">
      <w:pPr>
        <w:jc w:val="both"/>
        <w:rPr>
          <w:rFonts w:ascii="Arial" w:hAnsi="Arial" w:cs="Arial"/>
          <w:i/>
          <w:sz w:val="22"/>
          <w:szCs w:val="22"/>
          <w:lang w:val="fr-LU"/>
        </w:rPr>
      </w:pPr>
      <w:r>
        <w:rPr>
          <w:rFonts w:ascii="Arial" w:hAnsi="Arial" w:cs="Arial"/>
          <w:sz w:val="22"/>
          <w:szCs w:val="22"/>
          <w:lang w:val="fr-LU"/>
        </w:rPr>
        <w:t>La position compétitive relative du Luxembourg s’est dégradée (de la 20</w:t>
      </w:r>
      <w:r w:rsidRPr="00EA53B8">
        <w:rPr>
          <w:rFonts w:ascii="Arial" w:hAnsi="Arial" w:cs="Arial"/>
          <w:sz w:val="22"/>
          <w:szCs w:val="22"/>
          <w:vertAlign w:val="superscript"/>
          <w:lang w:val="fr-LU"/>
        </w:rPr>
        <w:t>e</w:t>
      </w:r>
      <w:r>
        <w:rPr>
          <w:rFonts w:ascii="Arial" w:hAnsi="Arial" w:cs="Arial"/>
          <w:sz w:val="22"/>
          <w:szCs w:val="22"/>
          <w:lang w:val="fr-LU"/>
        </w:rPr>
        <w:t xml:space="preserve"> à la 23</w:t>
      </w:r>
      <w:r w:rsidRPr="00EA53B8">
        <w:rPr>
          <w:rFonts w:ascii="Arial" w:hAnsi="Arial" w:cs="Arial"/>
          <w:sz w:val="22"/>
          <w:szCs w:val="22"/>
          <w:vertAlign w:val="superscript"/>
          <w:lang w:val="fr-LU"/>
        </w:rPr>
        <w:t>e</w:t>
      </w:r>
      <w:r>
        <w:rPr>
          <w:rFonts w:ascii="Arial" w:hAnsi="Arial" w:cs="Arial"/>
          <w:sz w:val="22"/>
          <w:szCs w:val="22"/>
          <w:lang w:val="fr-LU"/>
        </w:rPr>
        <w:t xml:space="preserve"> place) dans un classement international qui compte désormais 142 pays. Il convient notamment de souligner, par rapport à l’édition 2010-2011 du GCI</w:t>
      </w:r>
      <w:r w:rsidR="00903753">
        <w:rPr>
          <w:rFonts w:ascii="Arial" w:hAnsi="Arial" w:cs="Arial"/>
          <w:sz w:val="22"/>
          <w:szCs w:val="22"/>
          <w:lang w:val="fr-LU"/>
        </w:rPr>
        <w:t xml:space="preserve"> (Global </w:t>
      </w:r>
      <w:proofErr w:type="spellStart"/>
      <w:r w:rsidR="00903753">
        <w:rPr>
          <w:rFonts w:ascii="Arial" w:hAnsi="Arial" w:cs="Arial"/>
          <w:sz w:val="22"/>
          <w:szCs w:val="22"/>
          <w:lang w:val="fr-LU"/>
        </w:rPr>
        <w:t>Competitiveness</w:t>
      </w:r>
      <w:proofErr w:type="spellEnd"/>
      <w:r w:rsidR="00903753">
        <w:rPr>
          <w:rFonts w:ascii="Arial" w:hAnsi="Arial" w:cs="Arial"/>
          <w:sz w:val="22"/>
          <w:szCs w:val="22"/>
          <w:lang w:val="fr-LU"/>
        </w:rPr>
        <w:t xml:space="preserve"> Index)</w:t>
      </w:r>
      <w:r>
        <w:rPr>
          <w:rFonts w:ascii="Arial" w:hAnsi="Arial" w:cs="Arial"/>
          <w:sz w:val="22"/>
          <w:szCs w:val="22"/>
          <w:lang w:val="fr-LU"/>
        </w:rPr>
        <w:t xml:space="preserve">, un recul apparent et marqué de 8 des 12 piliers pris en compte dans l’étude, piliers ayant trait aux </w:t>
      </w:r>
      <w:r w:rsidRPr="00735620">
        <w:rPr>
          <w:rFonts w:ascii="Arial" w:hAnsi="Arial" w:cs="Arial"/>
          <w:i/>
          <w:sz w:val="22"/>
          <w:szCs w:val="22"/>
          <w:lang w:val="fr-LU"/>
        </w:rPr>
        <w:t>inf</w:t>
      </w:r>
      <w:r w:rsidRPr="0010043D">
        <w:rPr>
          <w:rFonts w:ascii="Arial" w:hAnsi="Arial" w:cs="Arial"/>
          <w:i/>
          <w:sz w:val="22"/>
          <w:szCs w:val="22"/>
          <w:lang w:val="fr-LU"/>
        </w:rPr>
        <w:t>rastructures</w:t>
      </w:r>
      <w:r>
        <w:rPr>
          <w:rFonts w:ascii="Arial" w:hAnsi="Arial" w:cs="Arial"/>
          <w:sz w:val="22"/>
          <w:szCs w:val="22"/>
          <w:lang w:val="fr-LU"/>
        </w:rPr>
        <w:t xml:space="preserve">, à </w:t>
      </w:r>
      <w:r w:rsidRPr="004169DC">
        <w:rPr>
          <w:rFonts w:ascii="Arial" w:hAnsi="Arial" w:cs="Arial"/>
          <w:sz w:val="22"/>
          <w:szCs w:val="22"/>
          <w:lang w:val="fr-LU"/>
        </w:rPr>
        <w:t>l’</w:t>
      </w:r>
      <w:r w:rsidRPr="004169DC">
        <w:rPr>
          <w:rFonts w:ascii="Arial" w:hAnsi="Arial" w:cs="Arial"/>
          <w:i/>
          <w:sz w:val="22"/>
          <w:szCs w:val="22"/>
          <w:lang w:val="fr-LU"/>
        </w:rPr>
        <w:t>environnement macroéconomique</w:t>
      </w:r>
      <w:r w:rsidRPr="004169DC">
        <w:rPr>
          <w:rFonts w:ascii="Arial" w:hAnsi="Arial" w:cs="Arial"/>
          <w:sz w:val="22"/>
          <w:szCs w:val="22"/>
          <w:lang w:val="fr-LU"/>
        </w:rPr>
        <w:t>, à l’</w:t>
      </w:r>
      <w:r w:rsidRPr="004169DC">
        <w:rPr>
          <w:rFonts w:ascii="Arial" w:hAnsi="Arial" w:cs="Arial"/>
          <w:i/>
          <w:sz w:val="22"/>
          <w:szCs w:val="22"/>
          <w:lang w:val="fr-LU"/>
        </w:rPr>
        <w:t>efficacité</w:t>
      </w:r>
      <w:r w:rsidRPr="004169DC">
        <w:rPr>
          <w:rFonts w:ascii="Arial" w:hAnsi="Arial" w:cs="Arial"/>
          <w:sz w:val="22"/>
          <w:szCs w:val="22"/>
          <w:lang w:val="fr-LU"/>
        </w:rPr>
        <w:t xml:space="preserve"> </w:t>
      </w:r>
      <w:r w:rsidRPr="004169DC">
        <w:rPr>
          <w:rFonts w:ascii="Arial" w:hAnsi="Arial" w:cs="Arial"/>
          <w:i/>
          <w:sz w:val="22"/>
          <w:szCs w:val="22"/>
          <w:lang w:val="fr-LU"/>
        </w:rPr>
        <w:t>du marché du travail</w:t>
      </w:r>
      <w:r w:rsidRPr="004169DC">
        <w:rPr>
          <w:rFonts w:ascii="Arial" w:hAnsi="Arial" w:cs="Arial"/>
          <w:sz w:val="22"/>
          <w:szCs w:val="22"/>
          <w:lang w:val="fr-LU"/>
        </w:rPr>
        <w:t xml:space="preserve">, au </w:t>
      </w:r>
      <w:r w:rsidRPr="004169DC">
        <w:rPr>
          <w:rFonts w:ascii="Arial" w:hAnsi="Arial" w:cs="Arial"/>
          <w:i/>
          <w:sz w:val="22"/>
          <w:szCs w:val="22"/>
          <w:lang w:val="fr-LU"/>
        </w:rPr>
        <w:t>développement du marché financier</w:t>
      </w:r>
      <w:r w:rsidRPr="004169DC">
        <w:rPr>
          <w:rFonts w:ascii="Arial" w:hAnsi="Arial" w:cs="Arial"/>
          <w:sz w:val="22"/>
          <w:szCs w:val="22"/>
          <w:lang w:val="fr-LU"/>
        </w:rPr>
        <w:t xml:space="preserve">, </w:t>
      </w:r>
      <w:r>
        <w:rPr>
          <w:rFonts w:ascii="Arial" w:hAnsi="Arial" w:cs="Arial"/>
          <w:sz w:val="22"/>
          <w:szCs w:val="22"/>
          <w:lang w:val="fr-LU"/>
        </w:rPr>
        <w:t>à l’</w:t>
      </w:r>
      <w:r w:rsidRPr="004169DC">
        <w:rPr>
          <w:rFonts w:ascii="Arial" w:hAnsi="Arial" w:cs="Arial"/>
          <w:i/>
          <w:sz w:val="22"/>
          <w:szCs w:val="22"/>
          <w:lang w:val="fr-LU"/>
        </w:rPr>
        <w:t>utilisation</w:t>
      </w:r>
      <w:r w:rsidRPr="004169DC">
        <w:rPr>
          <w:rFonts w:ascii="Arial" w:hAnsi="Arial" w:cs="Arial"/>
          <w:sz w:val="22"/>
          <w:szCs w:val="22"/>
          <w:lang w:val="fr-LU"/>
        </w:rPr>
        <w:t xml:space="preserve"> </w:t>
      </w:r>
      <w:r w:rsidRPr="004169DC">
        <w:rPr>
          <w:rFonts w:ascii="Arial" w:hAnsi="Arial" w:cs="Arial"/>
          <w:i/>
          <w:sz w:val="22"/>
          <w:szCs w:val="22"/>
          <w:lang w:val="fr-LU"/>
        </w:rPr>
        <w:t>des nouvelles technologies</w:t>
      </w:r>
      <w:r w:rsidRPr="004169DC">
        <w:rPr>
          <w:rFonts w:ascii="Arial" w:hAnsi="Arial" w:cs="Arial"/>
          <w:sz w:val="22"/>
          <w:szCs w:val="22"/>
          <w:lang w:val="fr-LU"/>
        </w:rPr>
        <w:t xml:space="preserve">, à la </w:t>
      </w:r>
      <w:r w:rsidRPr="004169DC">
        <w:rPr>
          <w:rFonts w:ascii="Arial" w:hAnsi="Arial" w:cs="Arial"/>
          <w:i/>
          <w:sz w:val="22"/>
          <w:szCs w:val="22"/>
          <w:lang w:val="fr-LU"/>
        </w:rPr>
        <w:t>taille du marché</w:t>
      </w:r>
      <w:r w:rsidRPr="004169DC">
        <w:rPr>
          <w:rFonts w:ascii="Arial" w:hAnsi="Arial" w:cs="Arial"/>
          <w:sz w:val="22"/>
          <w:szCs w:val="22"/>
          <w:lang w:val="fr-LU"/>
        </w:rPr>
        <w:t xml:space="preserve">, au </w:t>
      </w:r>
      <w:r w:rsidRPr="004169DC">
        <w:rPr>
          <w:rFonts w:ascii="Arial" w:hAnsi="Arial" w:cs="Arial"/>
          <w:i/>
          <w:sz w:val="22"/>
          <w:szCs w:val="22"/>
          <w:lang w:val="fr-LU"/>
        </w:rPr>
        <w:t>degré de sophistication de l’environnement des affaires</w:t>
      </w:r>
      <w:r w:rsidRPr="004169DC">
        <w:rPr>
          <w:rFonts w:ascii="Arial" w:hAnsi="Arial" w:cs="Arial"/>
          <w:sz w:val="22"/>
          <w:szCs w:val="22"/>
          <w:lang w:val="fr-LU"/>
        </w:rPr>
        <w:t xml:space="preserve"> et à l’</w:t>
      </w:r>
      <w:r w:rsidRPr="004169DC">
        <w:rPr>
          <w:rFonts w:ascii="Arial" w:hAnsi="Arial" w:cs="Arial"/>
          <w:i/>
          <w:sz w:val="22"/>
          <w:szCs w:val="22"/>
          <w:lang w:val="fr-LU"/>
        </w:rPr>
        <w:t>innovation</w:t>
      </w:r>
      <w:r>
        <w:rPr>
          <w:rFonts w:ascii="Arial" w:hAnsi="Arial" w:cs="Arial"/>
          <w:i/>
          <w:sz w:val="22"/>
          <w:szCs w:val="22"/>
          <w:lang w:val="fr-LU"/>
        </w:rPr>
        <w:t>.</w:t>
      </w:r>
      <w:r>
        <w:rPr>
          <w:rFonts w:ascii="Arial" w:hAnsi="Arial" w:cs="Arial"/>
          <w:sz w:val="22"/>
          <w:szCs w:val="22"/>
          <w:lang w:val="fr-LU"/>
        </w:rPr>
        <w:t xml:space="preserve"> Il ne reste donc </w:t>
      </w:r>
      <w:r w:rsidRPr="00645ABC">
        <w:rPr>
          <w:rFonts w:ascii="Arial" w:hAnsi="Arial" w:cs="Arial"/>
          <w:i/>
          <w:sz w:val="22"/>
          <w:szCs w:val="22"/>
          <w:lang w:val="fr-LU"/>
        </w:rPr>
        <w:t>a priori</w:t>
      </w:r>
      <w:r>
        <w:rPr>
          <w:rFonts w:ascii="Arial" w:hAnsi="Arial" w:cs="Arial"/>
          <w:sz w:val="22"/>
          <w:szCs w:val="22"/>
          <w:lang w:val="fr-LU"/>
        </w:rPr>
        <w:t xml:space="preserve"> que 4 motifs de satisfaction au regard de l’amélioration affichée des 4 piliers suivants : les </w:t>
      </w:r>
      <w:r w:rsidRPr="00423F06">
        <w:rPr>
          <w:rFonts w:ascii="Arial" w:hAnsi="Arial" w:cs="Arial"/>
          <w:i/>
          <w:sz w:val="22"/>
          <w:szCs w:val="22"/>
          <w:lang w:val="fr-LU"/>
        </w:rPr>
        <w:t>institutions</w:t>
      </w:r>
      <w:r w:rsidRPr="00423F06">
        <w:rPr>
          <w:rFonts w:ascii="Arial" w:hAnsi="Arial" w:cs="Arial"/>
          <w:sz w:val="22"/>
          <w:szCs w:val="22"/>
          <w:lang w:val="fr-LU"/>
        </w:rPr>
        <w:t xml:space="preserve">, la </w:t>
      </w:r>
      <w:r w:rsidRPr="00423F06">
        <w:rPr>
          <w:rFonts w:ascii="Arial" w:hAnsi="Arial" w:cs="Arial"/>
          <w:i/>
          <w:sz w:val="22"/>
          <w:szCs w:val="22"/>
          <w:lang w:val="fr-LU"/>
        </w:rPr>
        <w:t>qualité du système de santé et d’éducation primaire</w:t>
      </w:r>
      <w:r w:rsidRPr="00423F06">
        <w:rPr>
          <w:rFonts w:ascii="Arial" w:hAnsi="Arial" w:cs="Arial"/>
          <w:sz w:val="22"/>
          <w:szCs w:val="22"/>
          <w:lang w:val="fr-LU"/>
        </w:rPr>
        <w:t>, l’</w:t>
      </w:r>
      <w:r w:rsidRPr="00423F06">
        <w:rPr>
          <w:rFonts w:ascii="Arial" w:hAnsi="Arial" w:cs="Arial"/>
          <w:i/>
          <w:sz w:val="22"/>
          <w:szCs w:val="22"/>
          <w:lang w:val="fr-LU"/>
        </w:rPr>
        <w:t xml:space="preserve">enseignement supérieur et </w:t>
      </w:r>
      <w:r w:rsidR="00903753">
        <w:rPr>
          <w:rFonts w:ascii="Arial" w:hAnsi="Arial" w:cs="Arial"/>
          <w:i/>
          <w:sz w:val="22"/>
          <w:szCs w:val="22"/>
          <w:lang w:val="fr-LU"/>
        </w:rPr>
        <w:t xml:space="preserve">la </w:t>
      </w:r>
      <w:r w:rsidRPr="00423F06">
        <w:rPr>
          <w:rFonts w:ascii="Arial" w:hAnsi="Arial" w:cs="Arial"/>
          <w:i/>
          <w:sz w:val="22"/>
          <w:szCs w:val="22"/>
          <w:lang w:val="fr-LU"/>
        </w:rPr>
        <w:t xml:space="preserve">formation supérieure </w:t>
      </w:r>
      <w:r w:rsidRPr="00423F06">
        <w:rPr>
          <w:rFonts w:ascii="Arial" w:hAnsi="Arial" w:cs="Arial"/>
          <w:sz w:val="22"/>
          <w:szCs w:val="22"/>
          <w:lang w:val="fr-LU"/>
        </w:rPr>
        <w:t>et l’</w:t>
      </w:r>
      <w:r w:rsidRPr="00423F06">
        <w:rPr>
          <w:rFonts w:ascii="Arial" w:hAnsi="Arial" w:cs="Arial"/>
          <w:i/>
          <w:sz w:val="22"/>
          <w:szCs w:val="22"/>
          <w:lang w:val="fr-LU"/>
        </w:rPr>
        <w:t>efficacité des marchés de biens</w:t>
      </w:r>
      <w:r w:rsidRPr="00423F06">
        <w:rPr>
          <w:rFonts w:ascii="Arial" w:hAnsi="Arial" w:cs="Arial"/>
          <w:sz w:val="22"/>
          <w:szCs w:val="22"/>
          <w:lang w:val="fr-LU"/>
        </w:rPr>
        <w:t>.</w:t>
      </w:r>
    </w:p>
    <w:p w:rsidR="00A41BA8" w:rsidRPr="00E266C2" w:rsidRDefault="00A41BA8" w:rsidP="00876EB1">
      <w:pPr>
        <w:jc w:val="both"/>
        <w:rPr>
          <w:rFonts w:ascii="Arial" w:hAnsi="Arial" w:cs="Arial"/>
          <w:sz w:val="22"/>
          <w:szCs w:val="22"/>
          <w:lang w:val="fr-LU"/>
        </w:rPr>
      </w:pPr>
    </w:p>
    <w:p w:rsidR="008002C2" w:rsidRDefault="008002C2">
      <w:pPr>
        <w:rPr>
          <w:rFonts w:ascii="Arial" w:hAnsi="Arial" w:cs="Arial"/>
          <w:b/>
          <w:sz w:val="22"/>
          <w:szCs w:val="22"/>
          <w:u w:val="single"/>
          <w:lang w:val="fr-FR"/>
        </w:rPr>
      </w:pPr>
      <w:r>
        <w:rPr>
          <w:rFonts w:ascii="Arial" w:hAnsi="Arial" w:cs="Arial"/>
          <w:b/>
          <w:sz w:val="22"/>
          <w:szCs w:val="22"/>
          <w:u w:val="single"/>
          <w:lang w:val="fr-FR"/>
        </w:rPr>
        <w:br w:type="page"/>
      </w:r>
    </w:p>
    <w:p w:rsidR="00B37D64" w:rsidRDefault="00A41BA8" w:rsidP="002F4EC9">
      <w:pPr>
        <w:rPr>
          <w:rFonts w:ascii="Arial" w:hAnsi="Arial" w:cs="Arial"/>
          <w:b/>
          <w:sz w:val="22"/>
          <w:szCs w:val="22"/>
          <w:u w:val="single"/>
          <w:lang w:val="fr-FR"/>
        </w:rPr>
      </w:pPr>
      <w:r w:rsidRPr="00E210D1">
        <w:rPr>
          <w:rFonts w:ascii="Arial" w:hAnsi="Arial" w:cs="Arial"/>
          <w:b/>
          <w:sz w:val="22"/>
          <w:szCs w:val="22"/>
          <w:u w:val="single"/>
          <w:lang w:val="fr-FR"/>
        </w:rPr>
        <w:lastRenderedPageBreak/>
        <w:t>Tableau</w:t>
      </w:r>
      <w:r w:rsidR="00E266C2">
        <w:rPr>
          <w:rFonts w:ascii="Arial" w:hAnsi="Arial" w:cs="Arial"/>
          <w:b/>
          <w:sz w:val="22"/>
          <w:szCs w:val="22"/>
          <w:u w:val="single"/>
          <w:lang w:val="fr-FR"/>
        </w:rPr>
        <w:t xml:space="preserve"> </w:t>
      </w:r>
      <w:r w:rsidRPr="00E210D1">
        <w:rPr>
          <w:rFonts w:ascii="Arial" w:hAnsi="Arial" w:cs="Arial"/>
          <w:b/>
          <w:sz w:val="22"/>
          <w:szCs w:val="22"/>
          <w:u w:val="single"/>
          <w:lang w:val="fr-FR"/>
        </w:rPr>
        <w:t xml:space="preserve">1 : </w:t>
      </w:r>
      <w:r w:rsidR="00E210D1">
        <w:rPr>
          <w:rFonts w:ascii="Arial" w:hAnsi="Arial" w:cs="Arial"/>
          <w:b/>
          <w:sz w:val="22"/>
          <w:szCs w:val="22"/>
          <w:u w:val="single"/>
          <w:lang w:val="fr-FR"/>
        </w:rPr>
        <w:t>Le « </w:t>
      </w:r>
      <w:r w:rsidRPr="00E210D1">
        <w:rPr>
          <w:rFonts w:ascii="Arial" w:hAnsi="Arial" w:cs="Arial"/>
          <w:b/>
          <w:sz w:val="22"/>
          <w:szCs w:val="22"/>
          <w:u w:val="single"/>
          <w:lang w:val="fr-FR"/>
        </w:rPr>
        <w:t xml:space="preserve">Global </w:t>
      </w:r>
      <w:proofErr w:type="spellStart"/>
      <w:r w:rsidRPr="00E210D1">
        <w:rPr>
          <w:rFonts w:ascii="Arial" w:hAnsi="Arial" w:cs="Arial"/>
          <w:b/>
          <w:sz w:val="22"/>
          <w:szCs w:val="22"/>
          <w:u w:val="single"/>
          <w:lang w:val="fr-FR"/>
        </w:rPr>
        <w:t>Competitiveness</w:t>
      </w:r>
      <w:proofErr w:type="spellEnd"/>
      <w:r w:rsidRPr="00E210D1">
        <w:rPr>
          <w:rFonts w:ascii="Arial" w:hAnsi="Arial" w:cs="Arial"/>
          <w:b/>
          <w:sz w:val="22"/>
          <w:szCs w:val="22"/>
          <w:u w:val="single"/>
          <w:lang w:val="fr-FR"/>
        </w:rPr>
        <w:t xml:space="preserve"> Index</w:t>
      </w:r>
      <w:r w:rsidR="00E210D1">
        <w:rPr>
          <w:rFonts w:ascii="Arial" w:hAnsi="Arial" w:cs="Arial"/>
          <w:b/>
          <w:sz w:val="22"/>
          <w:szCs w:val="22"/>
          <w:u w:val="single"/>
          <w:lang w:val="fr-FR"/>
        </w:rPr>
        <w:t> »</w:t>
      </w:r>
      <w:r w:rsidRPr="00E210D1">
        <w:rPr>
          <w:rFonts w:ascii="Arial" w:hAnsi="Arial" w:cs="Arial"/>
          <w:b/>
          <w:sz w:val="22"/>
          <w:szCs w:val="22"/>
          <w:u w:val="single"/>
          <w:lang w:val="fr-FR"/>
        </w:rPr>
        <w:t> : les résultats pour le Luxembourg</w:t>
      </w:r>
    </w:p>
    <w:p w:rsidR="009E478E" w:rsidRPr="00B37D64" w:rsidRDefault="009E478E" w:rsidP="00B37D64">
      <w:pPr>
        <w:tabs>
          <w:tab w:val="left" w:pos="2269"/>
        </w:tabs>
        <w:rPr>
          <w:rFonts w:ascii="Arial" w:hAnsi="Arial" w:cs="Arial"/>
          <w:sz w:val="22"/>
          <w:szCs w:val="22"/>
          <w:lang w:val="fr-LU"/>
        </w:rPr>
      </w:pPr>
    </w:p>
    <w:p w:rsidR="009E478E" w:rsidRDefault="007F47C7" w:rsidP="009E478E">
      <w:pPr>
        <w:jc w:val="center"/>
        <w:rPr>
          <w:rFonts w:ascii="Arial" w:hAnsi="Arial" w:cs="Arial"/>
          <w:sz w:val="22"/>
          <w:szCs w:val="22"/>
          <w:lang w:val="fr-FR"/>
        </w:rPr>
      </w:pPr>
      <w:r>
        <w:rPr>
          <w:rFonts w:ascii="Arial" w:hAnsi="Arial" w:cs="Arial"/>
          <w:noProof/>
          <w:sz w:val="22"/>
          <w:szCs w:val="22"/>
        </w:rPr>
        <w:drawing>
          <wp:inline distT="0" distB="0" distL="0" distR="0">
            <wp:extent cx="4162453" cy="3614468"/>
            <wp:effectExtent l="19050" t="0" r="9497"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4162566" cy="3614566"/>
                    </a:xfrm>
                    <a:prstGeom prst="rect">
                      <a:avLst/>
                    </a:prstGeom>
                    <a:noFill/>
                    <a:ln w="9525">
                      <a:noFill/>
                      <a:miter lim="800000"/>
                      <a:headEnd/>
                      <a:tailEnd/>
                    </a:ln>
                  </pic:spPr>
                </pic:pic>
              </a:graphicData>
            </a:graphic>
          </wp:inline>
        </w:drawing>
      </w:r>
    </w:p>
    <w:p w:rsidR="00632D03" w:rsidRDefault="00702B2E" w:rsidP="00876EB1">
      <w:pPr>
        <w:jc w:val="both"/>
        <w:rPr>
          <w:rFonts w:ascii="Arial" w:hAnsi="Arial" w:cs="Arial"/>
          <w:sz w:val="22"/>
          <w:szCs w:val="22"/>
          <w:lang w:val="fr-LU"/>
        </w:rPr>
      </w:pPr>
      <w:r>
        <w:rPr>
          <w:rFonts w:ascii="Arial" w:hAnsi="Arial" w:cs="Arial"/>
          <w:sz w:val="22"/>
          <w:szCs w:val="22"/>
          <w:lang w:val="fr-FR"/>
        </w:rPr>
        <w:t>La catégorie d’indicateurs dédiée aux</w:t>
      </w:r>
      <w:r w:rsidR="00EF5480">
        <w:rPr>
          <w:rFonts w:ascii="Arial" w:hAnsi="Arial" w:cs="Arial"/>
          <w:sz w:val="22"/>
          <w:szCs w:val="22"/>
          <w:lang w:val="fr-FR"/>
        </w:rPr>
        <w:t xml:space="preserve"> </w:t>
      </w:r>
      <w:r w:rsidR="00EF5480">
        <w:rPr>
          <w:rFonts w:ascii="Arial" w:hAnsi="Arial" w:cs="Arial"/>
          <w:b/>
          <w:i/>
          <w:sz w:val="22"/>
          <w:szCs w:val="22"/>
          <w:u w:val="single"/>
          <w:lang w:val="fr-LU"/>
        </w:rPr>
        <w:t>fondamentaux</w:t>
      </w:r>
      <w:r w:rsidR="00735620" w:rsidRPr="002D731F">
        <w:rPr>
          <w:rFonts w:ascii="Arial" w:hAnsi="Arial" w:cs="Arial"/>
          <w:b/>
          <w:i/>
          <w:sz w:val="22"/>
          <w:szCs w:val="22"/>
          <w:u w:val="single"/>
          <w:lang w:val="fr-LU"/>
        </w:rPr>
        <w:t xml:space="preserve"> </w:t>
      </w:r>
      <w:r w:rsidR="00A500FA" w:rsidRPr="002D731F">
        <w:rPr>
          <w:rFonts w:ascii="Arial" w:hAnsi="Arial" w:cs="Arial"/>
          <w:b/>
          <w:i/>
          <w:sz w:val="22"/>
          <w:szCs w:val="22"/>
          <w:u w:val="single"/>
          <w:lang w:val="fr-LU"/>
        </w:rPr>
        <w:t xml:space="preserve">de la </w:t>
      </w:r>
      <w:r w:rsidR="00735620" w:rsidRPr="002D731F">
        <w:rPr>
          <w:rFonts w:ascii="Arial" w:hAnsi="Arial" w:cs="Arial"/>
          <w:b/>
          <w:i/>
          <w:sz w:val="22"/>
          <w:szCs w:val="22"/>
          <w:u w:val="single"/>
          <w:lang w:val="fr-LU"/>
        </w:rPr>
        <w:t>compétitivité</w:t>
      </w:r>
      <w:r w:rsidR="00A500FA">
        <w:rPr>
          <w:rFonts w:ascii="Arial" w:hAnsi="Arial" w:cs="Arial"/>
          <w:sz w:val="22"/>
          <w:szCs w:val="22"/>
          <w:lang w:val="fr-LU"/>
        </w:rPr>
        <w:t xml:space="preserve"> (</w:t>
      </w:r>
      <w:r w:rsidR="008D30CD">
        <w:rPr>
          <w:rFonts w:ascii="Arial" w:hAnsi="Arial" w:cs="Arial"/>
          <w:sz w:val="22"/>
          <w:szCs w:val="22"/>
          <w:lang w:val="fr-LU"/>
        </w:rPr>
        <w:t>« </w:t>
      </w:r>
      <w:r w:rsidR="00A500FA" w:rsidRPr="008811D2">
        <w:rPr>
          <w:rFonts w:ascii="Arial" w:hAnsi="Arial" w:cs="Arial"/>
          <w:i/>
          <w:sz w:val="22"/>
          <w:szCs w:val="22"/>
          <w:lang w:val="fr-LU"/>
        </w:rPr>
        <w:t xml:space="preserve">Basic </w:t>
      </w:r>
      <w:proofErr w:type="spellStart"/>
      <w:r w:rsidR="00A500FA" w:rsidRPr="008811D2">
        <w:rPr>
          <w:rFonts w:ascii="Arial" w:hAnsi="Arial" w:cs="Arial"/>
          <w:i/>
          <w:sz w:val="22"/>
          <w:szCs w:val="22"/>
          <w:lang w:val="fr-LU"/>
        </w:rPr>
        <w:t>requirements</w:t>
      </w:r>
      <w:proofErr w:type="spellEnd"/>
      <w:r w:rsidR="008D30CD">
        <w:rPr>
          <w:rFonts w:ascii="Arial" w:hAnsi="Arial" w:cs="Arial"/>
          <w:i/>
          <w:sz w:val="22"/>
          <w:szCs w:val="22"/>
          <w:lang w:val="fr-LU"/>
        </w:rPr>
        <w:t> »</w:t>
      </w:r>
      <w:r w:rsidR="00A500FA">
        <w:rPr>
          <w:rFonts w:ascii="Arial" w:hAnsi="Arial" w:cs="Arial"/>
          <w:sz w:val="22"/>
          <w:szCs w:val="22"/>
          <w:lang w:val="fr-LU"/>
        </w:rPr>
        <w:t>)</w:t>
      </w:r>
      <w:r>
        <w:rPr>
          <w:rFonts w:ascii="Arial" w:hAnsi="Arial" w:cs="Arial"/>
          <w:sz w:val="22"/>
          <w:szCs w:val="22"/>
          <w:lang w:val="fr-LU"/>
        </w:rPr>
        <w:t xml:space="preserve"> est la seule à évoluer favorablement, à la fois en termes de position relative du pays dans le classement (</w:t>
      </w:r>
      <w:r w:rsidR="00B37D64">
        <w:rPr>
          <w:rFonts w:ascii="Arial" w:hAnsi="Arial" w:cs="Arial"/>
          <w:sz w:val="22"/>
          <w:szCs w:val="22"/>
          <w:lang w:val="fr-LU"/>
        </w:rPr>
        <w:t xml:space="preserve">amélioration de </w:t>
      </w:r>
      <w:r>
        <w:rPr>
          <w:rFonts w:ascii="Arial" w:hAnsi="Arial" w:cs="Arial"/>
          <w:sz w:val="22"/>
          <w:szCs w:val="22"/>
          <w:lang w:val="fr-LU"/>
        </w:rPr>
        <w:t>4 places</w:t>
      </w:r>
      <w:r w:rsidR="00B37D64">
        <w:rPr>
          <w:rFonts w:ascii="Arial" w:hAnsi="Arial" w:cs="Arial"/>
          <w:sz w:val="22"/>
          <w:szCs w:val="22"/>
          <w:lang w:val="fr-LU"/>
        </w:rPr>
        <w:t xml:space="preserve"> à la 6</w:t>
      </w:r>
      <w:r w:rsidR="00B37D64" w:rsidRPr="00B37D64">
        <w:rPr>
          <w:rFonts w:ascii="Arial" w:hAnsi="Arial" w:cs="Arial"/>
          <w:sz w:val="22"/>
          <w:szCs w:val="22"/>
          <w:vertAlign w:val="superscript"/>
          <w:lang w:val="fr-LU"/>
        </w:rPr>
        <w:t>e</w:t>
      </w:r>
      <w:r w:rsidR="00B37D64">
        <w:rPr>
          <w:rFonts w:ascii="Arial" w:hAnsi="Arial" w:cs="Arial"/>
          <w:sz w:val="22"/>
          <w:szCs w:val="22"/>
          <w:lang w:val="fr-LU"/>
        </w:rPr>
        <w:t xml:space="preserve"> position</w:t>
      </w:r>
      <w:r>
        <w:rPr>
          <w:rFonts w:ascii="Arial" w:hAnsi="Arial" w:cs="Arial"/>
          <w:sz w:val="22"/>
          <w:szCs w:val="22"/>
          <w:lang w:val="fr-LU"/>
        </w:rPr>
        <w:t>)</w:t>
      </w:r>
      <w:r w:rsidR="00B37D64">
        <w:rPr>
          <w:rFonts w:ascii="Arial" w:hAnsi="Arial" w:cs="Arial"/>
          <w:sz w:val="22"/>
          <w:szCs w:val="22"/>
          <w:lang w:val="fr-LU"/>
        </w:rPr>
        <w:t xml:space="preserve"> et</w:t>
      </w:r>
      <w:r>
        <w:rPr>
          <w:rFonts w:ascii="Arial" w:hAnsi="Arial" w:cs="Arial"/>
          <w:sz w:val="22"/>
          <w:szCs w:val="22"/>
          <w:lang w:val="fr-LU"/>
        </w:rPr>
        <w:t xml:space="preserve"> du point de vue du score atteint par le Grand-Duché (de 5.80 </w:t>
      </w:r>
      <w:r w:rsidR="00680D56">
        <w:rPr>
          <w:rFonts w:ascii="Arial" w:hAnsi="Arial" w:cs="Arial"/>
          <w:sz w:val="22"/>
          <w:szCs w:val="22"/>
          <w:lang w:val="fr-LU"/>
        </w:rPr>
        <w:t xml:space="preserve">sur 7.00 </w:t>
      </w:r>
      <w:r>
        <w:rPr>
          <w:rFonts w:ascii="Arial" w:hAnsi="Arial" w:cs="Arial"/>
          <w:sz w:val="22"/>
          <w:szCs w:val="22"/>
          <w:lang w:val="fr-LU"/>
        </w:rPr>
        <w:t xml:space="preserve">l’an passé à 5.90 </w:t>
      </w:r>
      <w:r w:rsidR="00B37D64">
        <w:rPr>
          <w:rFonts w:ascii="Arial" w:hAnsi="Arial" w:cs="Arial"/>
          <w:sz w:val="22"/>
          <w:szCs w:val="22"/>
          <w:lang w:val="fr-LU"/>
        </w:rPr>
        <w:t>dans la présente édition</w:t>
      </w:r>
      <w:r>
        <w:rPr>
          <w:rFonts w:ascii="Arial" w:hAnsi="Arial" w:cs="Arial"/>
          <w:sz w:val="22"/>
          <w:szCs w:val="22"/>
          <w:lang w:val="fr-LU"/>
        </w:rPr>
        <w:t>)</w:t>
      </w:r>
      <w:r w:rsidR="002F7D9D">
        <w:rPr>
          <w:rFonts w:ascii="Arial" w:hAnsi="Arial" w:cs="Arial"/>
          <w:sz w:val="22"/>
          <w:szCs w:val="22"/>
          <w:lang w:val="fr-LU"/>
        </w:rPr>
        <w:t>. La position relative en la matière est même meilleure que pour l’édition 2009 de l’étude (7</w:t>
      </w:r>
      <w:r w:rsidR="002F7D9D" w:rsidRPr="002F7D9D">
        <w:rPr>
          <w:rFonts w:ascii="Arial" w:hAnsi="Arial" w:cs="Arial"/>
          <w:sz w:val="22"/>
          <w:szCs w:val="22"/>
          <w:vertAlign w:val="superscript"/>
          <w:lang w:val="fr-LU"/>
        </w:rPr>
        <w:t>e</w:t>
      </w:r>
      <w:r w:rsidR="002F7D9D">
        <w:rPr>
          <w:rFonts w:ascii="Arial" w:hAnsi="Arial" w:cs="Arial"/>
          <w:sz w:val="22"/>
          <w:szCs w:val="22"/>
          <w:lang w:val="fr-LU"/>
        </w:rPr>
        <w:t xml:space="preserve"> </w:t>
      </w:r>
      <w:r w:rsidR="00A500FA">
        <w:rPr>
          <w:rFonts w:ascii="Arial" w:hAnsi="Arial" w:cs="Arial"/>
          <w:sz w:val="22"/>
          <w:szCs w:val="22"/>
          <w:lang w:val="fr-LU"/>
        </w:rPr>
        <w:t>place</w:t>
      </w:r>
      <w:r w:rsidR="002F7D9D">
        <w:rPr>
          <w:rFonts w:ascii="Arial" w:hAnsi="Arial" w:cs="Arial"/>
          <w:sz w:val="22"/>
          <w:szCs w:val="22"/>
          <w:lang w:val="fr-LU"/>
        </w:rPr>
        <w:t>)</w:t>
      </w:r>
      <w:r w:rsidR="00A500FA">
        <w:rPr>
          <w:rFonts w:ascii="Arial" w:hAnsi="Arial" w:cs="Arial"/>
          <w:sz w:val="22"/>
          <w:szCs w:val="22"/>
          <w:lang w:val="fr-LU"/>
        </w:rPr>
        <w:t xml:space="preserve">. </w:t>
      </w:r>
      <w:r w:rsidR="00B37D64">
        <w:rPr>
          <w:rFonts w:ascii="Arial" w:hAnsi="Arial" w:cs="Arial"/>
          <w:sz w:val="22"/>
          <w:szCs w:val="22"/>
          <w:lang w:val="fr-LU"/>
        </w:rPr>
        <w:t>Le</w:t>
      </w:r>
      <w:r w:rsidR="002F7D9D">
        <w:rPr>
          <w:rFonts w:ascii="Arial" w:hAnsi="Arial" w:cs="Arial"/>
          <w:sz w:val="22"/>
          <w:szCs w:val="22"/>
          <w:lang w:val="fr-LU"/>
        </w:rPr>
        <w:t xml:space="preserve"> Luxembourg renforce </w:t>
      </w:r>
      <w:r w:rsidR="00B37D64">
        <w:rPr>
          <w:rFonts w:ascii="Arial" w:hAnsi="Arial" w:cs="Arial"/>
          <w:sz w:val="22"/>
          <w:szCs w:val="22"/>
          <w:lang w:val="fr-LU"/>
        </w:rPr>
        <w:t>égale</w:t>
      </w:r>
      <w:r w:rsidR="002F7D9D">
        <w:rPr>
          <w:rFonts w:ascii="Arial" w:hAnsi="Arial" w:cs="Arial"/>
          <w:sz w:val="22"/>
          <w:szCs w:val="22"/>
          <w:lang w:val="fr-LU"/>
        </w:rPr>
        <w:t>ment son pilier « institutionnel », malgré une baisse de son score</w:t>
      </w:r>
      <w:r w:rsidR="00B37D64">
        <w:rPr>
          <w:rFonts w:ascii="Arial" w:hAnsi="Arial" w:cs="Arial"/>
          <w:sz w:val="22"/>
          <w:szCs w:val="22"/>
          <w:lang w:val="fr-LU"/>
        </w:rPr>
        <w:t>.</w:t>
      </w:r>
      <w:r w:rsidR="00E266C2">
        <w:rPr>
          <w:rFonts w:ascii="Arial" w:hAnsi="Arial" w:cs="Arial"/>
          <w:sz w:val="22"/>
          <w:szCs w:val="22"/>
          <w:lang w:val="fr-LU"/>
        </w:rPr>
        <w:t xml:space="preserve"> </w:t>
      </w:r>
      <w:r w:rsidR="00680D56">
        <w:rPr>
          <w:rFonts w:ascii="Arial" w:hAnsi="Arial" w:cs="Arial"/>
          <w:sz w:val="22"/>
          <w:szCs w:val="22"/>
          <w:lang w:val="fr-LU"/>
        </w:rPr>
        <w:t>Mais à y regarder de près, les performances luxembourgeoises apparaissent très différentes selon les indicateurs (très bons en matière de droits de propriété et de protection de la propriété intellectuelle, médiocres pour ce qui, par exemple, du critère de poids administratif de la part des pouvoirs pub</w:t>
      </w:r>
      <w:r w:rsidR="00680D56" w:rsidRPr="00680D56">
        <w:rPr>
          <w:rFonts w:ascii="Arial" w:hAnsi="Arial" w:cs="Arial"/>
          <w:sz w:val="22"/>
          <w:szCs w:val="22"/>
          <w:lang w:val="fr-LU"/>
        </w:rPr>
        <w:t>lics – l’indicateur « </w:t>
      </w:r>
      <w:proofErr w:type="spellStart"/>
      <w:r w:rsidR="00680D56" w:rsidRPr="00680D56">
        <w:rPr>
          <w:rFonts w:ascii="Arial" w:hAnsi="Arial" w:cs="Arial"/>
          <w:sz w:val="22"/>
          <w:szCs w:val="22"/>
          <w:lang w:val="fr-LU"/>
        </w:rPr>
        <w:t>burden</w:t>
      </w:r>
      <w:proofErr w:type="spellEnd"/>
      <w:r w:rsidR="00680D56" w:rsidRPr="00680D56">
        <w:rPr>
          <w:rFonts w:ascii="Arial" w:hAnsi="Arial" w:cs="Arial"/>
          <w:sz w:val="22"/>
          <w:szCs w:val="22"/>
          <w:lang w:val="fr-LU"/>
        </w:rPr>
        <w:t xml:space="preserve"> of </w:t>
      </w:r>
      <w:proofErr w:type="spellStart"/>
      <w:r w:rsidR="00680D56" w:rsidRPr="00680D56">
        <w:rPr>
          <w:rFonts w:ascii="Arial" w:hAnsi="Arial" w:cs="Arial"/>
          <w:sz w:val="22"/>
          <w:szCs w:val="22"/>
          <w:lang w:val="fr-LU"/>
        </w:rPr>
        <w:t>government</w:t>
      </w:r>
      <w:proofErr w:type="spellEnd"/>
      <w:r w:rsidR="00680D56" w:rsidRPr="00680D56">
        <w:rPr>
          <w:rFonts w:ascii="Arial" w:hAnsi="Arial" w:cs="Arial"/>
          <w:sz w:val="22"/>
          <w:szCs w:val="22"/>
          <w:lang w:val="fr-LU"/>
        </w:rPr>
        <w:t xml:space="preserve"> </w:t>
      </w:r>
      <w:proofErr w:type="spellStart"/>
      <w:r w:rsidR="00680D56" w:rsidRPr="00680D56">
        <w:rPr>
          <w:rFonts w:ascii="Arial" w:hAnsi="Arial" w:cs="Arial"/>
          <w:sz w:val="22"/>
          <w:szCs w:val="22"/>
          <w:lang w:val="fr-LU"/>
        </w:rPr>
        <w:t>regulation</w:t>
      </w:r>
      <w:proofErr w:type="spellEnd"/>
      <w:r w:rsidR="00680D56" w:rsidRPr="00680D56">
        <w:rPr>
          <w:rFonts w:ascii="Arial" w:hAnsi="Arial" w:cs="Arial"/>
          <w:sz w:val="22"/>
          <w:szCs w:val="22"/>
          <w:lang w:val="fr-LU"/>
        </w:rPr>
        <w:t> » passe de la 22</w:t>
      </w:r>
      <w:r w:rsidR="00680D56" w:rsidRPr="00680D56">
        <w:rPr>
          <w:rFonts w:ascii="Arial" w:hAnsi="Arial" w:cs="Arial"/>
          <w:sz w:val="22"/>
          <w:szCs w:val="22"/>
          <w:vertAlign w:val="superscript"/>
          <w:lang w:val="fr-LU"/>
        </w:rPr>
        <w:t>e</w:t>
      </w:r>
      <w:r w:rsidR="00680D56" w:rsidRPr="00680D56">
        <w:rPr>
          <w:rFonts w:ascii="Arial" w:hAnsi="Arial" w:cs="Arial"/>
          <w:sz w:val="22"/>
          <w:szCs w:val="22"/>
          <w:lang w:val="fr-LU"/>
        </w:rPr>
        <w:t xml:space="preserve"> à la 40</w:t>
      </w:r>
      <w:r w:rsidR="00680D56" w:rsidRPr="00680D56">
        <w:rPr>
          <w:rFonts w:ascii="Arial" w:hAnsi="Arial" w:cs="Arial"/>
          <w:sz w:val="22"/>
          <w:szCs w:val="22"/>
          <w:vertAlign w:val="superscript"/>
          <w:lang w:val="fr-LU"/>
        </w:rPr>
        <w:t>e</w:t>
      </w:r>
      <w:r w:rsidR="00680D56" w:rsidRPr="00680D56">
        <w:rPr>
          <w:rFonts w:ascii="Arial" w:hAnsi="Arial" w:cs="Arial"/>
          <w:sz w:val="22"/>
          <w:szCs w:val="22"/>
          <w:lang w:val="fr-LU"/>
        </w:rPr>
        <w:t xml:space="preserve"> place).</w:t>
      </w:r>
      <w:r w:rsidR="00680D56">
        <w:rPr>
          <w:rFonts w:ascii="Arial" w:hAnsi="Arial" w:cs="Arial"/>
          <w:sz w:val="22"/>
          <w:szCs w:val="22"/>
          <w:lang w:val="fr-LU"/>
        </w:rPr>
        <w:t xml:space="preserve"> Le rapport ne peut que pousser le Gouvernement à renforcer l</w:t>
      </w:r>
      <w:r w:rsidR="00A56A8F">
        <w:rPr>
          <w:rFonts w:ascii="Arial" w:hAnsi="Arial" w:cs="Arial"/>
          <w:sz w:val="22"/>
          <w:szCs w:val="22"/>
          <w:lang w:val="fr-LU"/>
        </w:rPr>
        <w:t xml:space="preserve">es initiatives prises en vue d’une plus grande simplification </w:t>
      </w:r>
      <w:r w:rsidR="00186C3C">
        <w:rPr>
          <w:rFonts w:ascii="Arial" w:hAnsi="Arial" w:cs="Arial"/>
          <w:sz w:val="22"/>
          <w:szCs w:val="22"/>
          <w:lang w:val="fr-LU"/>
        </w:rPr>
        <w:t xml:space="preserve">et efficience </w:t>
      </w:r>
      <w:r w:rsidR="00A56A8F">
        <w:rPr>
          <w:rFonts w:ascii="Arial" w:hAnsi="Arial" w:cs="Arial"/>
          <w:sz w:val="22"/>
          <w:szCs w:val="22"/>
          <w:lang w:val="fr-LU"/>
        </w:rPr>
        <w:t xml:space="preserve">administrative. </w:t>
      </w:r>
    </w:p>
    <w:p w:rsidR="00E266C2" w:rsidRDefault="00E266C2" w:rsidP="00876EB1">
      <w:pPr>
        <w:jc w:val="both"/>
        <w:rPr>
          <w:rFonts w:ascii="Arial" w:hAnsi="Arial" w:cs="Arial"/>
          <w:sz w:val="22"/>
          <w:szCs w:val="22"/>
          <w:lang w:val="fr-LU"/>
        </w:rPr>
      </w:pPr>
    </w:p>
    <w:p w:rsidR="0010043D" w:rsidRDefault="00B37D64" w:rsidP="00876EB1">
      <w:pPr>
        <w:jc w:val="both"/>
        <w:rPr>
          <w:rFonts w:ascii="Arial" w:hAnsi="Arial" w:cs="Arial"/>
          <w:sz w:val="22"/>
          <w:szCs w:val="22"/>
          <w:lang w:val="fr-LU"/>
        </w:rPr>
      </w:pPr>
      <w:r>
        <w:rPr>
          <w:rFonts w:ascii="Arial" w:hAnsi="Arial" w:cs="Arial"/>
          <w:sz w:val="22"/>
          <w:szCs w:val="22"/>
          <w:lang w:val="fr-LU"/>
        </w:rPr>
        <w:t>L</w:t>
      </w:r>
      <w:r w:rsidR="002F7D9D">
        <w:rPr>
          <w:rFonts w:ascii="Arial" w:hAnsi="Arial" w:cs="Arial"/>
          <w:sz w:val="22"/>
          <w:szCs w:val="22"/>
          <w:lang w:val="fr-LU"/>
        </w:rPr>
        <w:t xml:space="preserve">e Luxembourg a </w:t>
      </w:r>
      <w:r w:rsidR="00C856C6">
        <w:rPr>
          <w:rFonts w:ascii="Arial" w:hAnsi="Arial" w:cs="Arial"/>
          <w:sz w:val="22"/>
          <w:szCs w:val="22"/>
          <w:lang w:val="fr-LU"/>
        </w:rPr>
        <w:t>chuté</w:t>
      </w:r>
      <w:r w:rsidR="00E210D1">
        <w:rPr>
          <w:rFonts w:ascii="Arial" w:hAnsi="Arial" w:cs="Arial"/>
          <w:sz w:val="22"/>
          <w:szCs w:val="22"/>
          <w:lang w:val="fr-LU"/>
        </w:rPr>
        <w:t xml:space="preserve"> </w:t>
      </w:r>
      <w:r w:rsidR="00EA53B8">
        <w:rPr>
          <w:rFonts w:ascii="Arial" w:hAnsi="Arial" w:cs="Arial"/>
          <w:sz w:val="22"/>
          <w:szCs w:val="22"/>
          <w:lang w:val="fr-LU"/>
        </w:rPr>
        <w:t>en matière de</w:t>
      </w:r>
      <w:r w:rsidR="00E210D1">
        <w:rPr>
          <w:rFonts w:ascii="Arial" w:hAnsi="Arial" w:cs="Arial"/>
          <w:i/>
          <w:sz w:val="22"/>
          <w:szCs w:val="22"/>
          <w:lang w:val="fr-LU"/>
        </w:rPr>
        <w:t xml:space="preserve"> performances </w:t>
      </w:r>
      <w:r w:rsidR="00E210D1" w:rsidRPr="00E210D1">
        <w:rPr>
          <w:rFonts w:ascii="Arial" w:hAnsi="Arial" w:cs="Arial"/>
          <w:i/>
          <w:sz w:val="22"/>
          <w:szCs w:val="22"/>
          <w:lang w:val="fr-LU"/>
        </w:rPr>
        <w:t>macro-économique</w:t>
      </w:r>
      <w:r w:rsidR="00476A4F">
        <w:rPr>
          <w:rFonts w:ascii="Arial" w:hAnsi="Arial" w:cs="Arial"/>
          <w:i/>
          <w:sz w:val="22"/>
          <w:szCs w:val="22"/>
          <w:lang w:val="fr-LU"/>
        </w:rPr>
        <w:t>s</w:t>
      </w:r>
      <w:r w:rsidR="00E210D1">
        <w:rPr>
          <w:rFonts w:ascii="Arial" w:hAnsi="Arial" w:cs="Arial"/>
          <w:sz w:val="22"/>
          <w:szCs w:val="22"/>
          <w:lang w:val="fr-LU"/>
        </w:rPr>
        <w:t xml:space="preserve"> (de la </w:t>
      </w:r>
      <w:r w:rsidR="00EA53B8">
        <w:rPr>
          <w:rFonts w:ascii="Arial" w:hAnsi="Arial" w:cs="Arial"/>
          <w:sz w:val="22"/>
          <w:szCs w:val="22"/>
          <w:lang w:val="fr-LU"/>
        </w:rPr>
        <w:t>9</w:t>
      </w:r>
      <w:r w:rsidR="00E210D1" w:rsidRPr="00E210D1">
        <w:rPr>
          <w:rFonts w:ascii="Arial" w:hAnsi="Arial" w:cs="Arial"/>
          <w:sz w:val="22"/>
          <w:szCs w:val="22"/>
          <w:vertAlign w:val="superscript"/>
          <w:lang w:val="fr-LU"/>
        </w:rPr>
        <w:t>e</w:t>
      </w:r>
      <w:r w:rsidR="00E210D1">
        <w:rPr>
          <w:rFonts w:ascii="Arial" w:hAnsi="Arial" w:cs="Arial"/>
          <w:sz w:val="22"/>
          <w:szCs w:val="22"/>
          <w:lang w:val="fr-LU"/>
        </w:rPr>
        <w:t xml:space="preserve"> à la </w:t>
      </w:r>
      <w:r w:rsidR="00EA53B8">
        <w:rPr>
          <w:rFonts w:ascii="Arial" w:hAnsi="Arial" w:cs="Arial"/>
          <w:sz w:val="22"/>
          <w:szCs w:val="22"/>
          <w:lang w:val="fr-LU"/>
        </w:rPr>
        <w:t>15</w:t>
      </w:r>
      <w:r w:rsidR="00E210D1" w:rsidRPr="00E210D1">
        <w:rPr>
          <w:rFonts w:ascii="Arial" w:hAnsi="Arial" w:cs="Arial"/>
          <w:sz w:val="22"/>
          <w:szCs w:val="22"/>
          <w:vertAlign w:val="superscript"/>
          <w:lang w:val="fr-LU"/>
        </w:rPr>
        <w:t>e</w:t>
      </w:r>
      <w:r w:rsidR="00E210D1">
        <w:rPr>
          <w:rFonts w:ascii="Arial" w:hAnsi="Arial" w:cs="Arial"/>
          <w:sz w:val="22"/>
          <w:szCs w:val="22"/>
          <w:lang w:val="fr-LU"/>
        </w:rPr>
        <w:t xml:space="preserve"> </w:t>
      </w:r>
      <w:r w:rsidR="00FF3646">
        <w:rPr>
          <w:rFonts w:ascii="Arial" w:hAnsi="Arial" w:cs="Arial"/>
          <w:sz w:val="22"/>
          <w:szCs w:val="22"/>
          <w:lang w:val="fr-LU"/>
        </w:rPr>
        <w:t>place)</w:t>
      </w:r>
      <w:r w:rsidR="00EA53B8">
        <w:rPr>
          <w:rFonts w:ascii="Arial" w:hAnsi="Arial" w:cs="Arial"/>
          <w:sz w:val="22"/>
          <w:szCs w:val="22"/>
          <w:lang w:val="fr-LU"/>
        </w:rPr>
        <w:t>, alors qu’il avait déjà reculé fortement l’année dernière (-3 marches)</w:t>
      </w:r>
      <w:r w:rsidR="00FB3DA1">
        <w:rPr>
          <w:rFonts w:ascii="Arial" w:hAnsi="Arial" w:cs="Arial"/>
          <w:sz w:val="22"/>
          <w:szCs w:val="22"/>
          <w:lang w:val="fr-LU"/>
        </w:rPr>
        <w:t xml:space="preserve"> </w:t>
      </w:r>
      <w:r w:rsidR="00EA53B8">
        <w:rPr>
          <w:rFonts w:ascii="Arial" w:hAnsi="Arial" w:cs="Arial"/>
          <w:sz w:val="22"/>
          <w:szCs w:val="22"/>
          <w:lang w:val="fr-LU"/>
        </w:rPr>
        <w:t>et qu’il s’agit habituellement d’un pilier phare de la compétitivité luxembourgeoise</w:t>
      </w:r>
      <w:r w:rsidR="00A41BA8">
        <w:rPr>
          <w:rFonts w:ascii="Arial" w:hAnsi="Arial" w:cs="Arial"/>
          <w:sz w:val="22"/>
          <w:szCs w:val="22"/>
          <w:lang w:val="fr-LU"/>
        </w:rPr>
        <w:t xml:space="preserve">. </w:t>
      </w:r>
      <w:r w:rsidR="00632D03">
        <w:rPr>
          <w:rFonts w:ascii="Arial" w:hAnsi="Arial" w:cs="Arial"/>
          <w:sz w:val="22"/>
          <w:szCs w:val="22"/>
          <w:lang w:val="fr-LU"/>
        </w:rPr>
        <w:t>L’important délitement</w:t>
      </w:r>
      <w:r w:rsidR="00EA53B8">
        <w:rPr>
          <w:rFonts w:ascii="Arial" w:hAnsi="Arial" w:cs="Arial"/>
          <w:sz w:val="22"/>
          <w:szCs w:val="22"/>
          <w:lang w:val="fr-LU"/>
        </w:rPr>
        <w:t xml:space="preserve"> de ce dernier met en relief une situation qui se fragilise clairement pour </w:t>
      </w:r>
      <w:r w:rsidR="00632D03">
        <w:rPr>
          <w:rFonts w:ascii="Arial" w:hAnsi="Arial" w:cs="Arial"/>
          <w:sz w:val="22"/>
          <w:szCs w:val="22"/>
          <w:lang w:val="fr-LU"/>
        </w:rPr>
        <w:t>le pays empreint, depuis le début des années 2000, à une lente et inexorable dégradation de la</w:t>
      </w:r>
      <w:r w:rsidR="00E210D1">
        <w:rPr>
          <w:rFonts w:ascii="Arial" w:hAnsi="Arial" w:cs="Arial"/>
          <w:sz w:val="22"/>
          <w:szCs w:val="22"/>
          <w:lang w:val="fr-FR"/>
        </w:rPr>
        <w:t xml:space="preserve"> compétitivité-coût et pri</w:t>
      </w:r>
      <w:r w:rsidR="00632D03">
        <w:rPr>
          <w:rFonts w:ascii="Arial" w:hAnsi="Arial" w:cs="Arial"/>
          <w:sz w:val="22"/>
          <w:szCs w:val="22"/>
          <w:lang w:val="fr-FR"/>
        </w:rPr>
        <w:t>x des entreprises national</w:t>
      </w:r>
      <w:r w:rsidR="00E210D1">
        <w:rPr>
          <w:rFonts w:ascii="Arial" w:hAnsi="Arial" w:cs="Arial"/>
          <w:sz w:val="22"/>
          <w:szCs w:val="22"/>
          <w:lang w:val="fr-FR"/>
        </w:rPr>
        <w:t>es</w:t>
      </w:r>
      <w:r w:rsidR="00632D03">
        <w:rPr>
          <w:rFonts w:ascii="Arial" w:hAnsi="Arial" w:cs="Arial"/>
          <w:sz w:val="22"/>
          <w:szCs w:val="22"/>
          <w:lang w:val="fr-FR"/>
        </w:rPr>
        <w:t xml:space="preserve">, et ce dans un contexte de ralentissement économique mondial doublé d’une crise de confiance des marchés et d’une mise sous pression forte des finances publiques dans la plupart des pays riches, en particulier les principaux partenaires commerciaux du Luxembourg. </w:t>
      </w:r>
      <w:r w:rsidR="00680D56">
        <w:rPr>
          <w:rFonts w:ascii="Arial" w:hAnsi="Arial" w:cs="Arial"/>
          <w:sz w:val="22"/>
          <w:szCs w:val="22"/>
          <w:lang w:val="fr-FR"/>
        </w:rPr>
        <w:t>De fait, les indicateurs d’équilibre budgétaire et d’épargne nationale ne sont pas bons (</w:t>
      </w:r>
      <w:r w:rsidR="00C856C6">
        <w:rPr>
          <w:rFonts w:ascii="Arial" w:hAnsi="Arial" w:cs="Arial"/>
          <w:sz w:val="22"/>
          <w:szCs w:val="22"/>
          <w:lang w:val="fr-FR"/>
        </w:rPr>
        <w:t>r</w:t>
      </w:r>
      <w:r w:rsidR="00680D56">
        <w:rPr>
          <w:rFonts w:ascii="Arial" w:hAnsi="Arial" w:cs="Arial"/>
          <w:sz w:val="22"/>
          <w:szCs w:val="22"/>
          <w:lang w:val="fr-FR"/>
        </w:rPr>
        <w:t>espective</w:t>
      </w:r>
      <w:r w:rsidR="00C856C6">
        <w:rPr>
          <w:rFonts w:ascii="Arial" w:hAnsi="Arial" w:cs="Arial"/>
          <w:sz w:val="22"/>
          <w:szCs w:val="22"/>
          <w:lang w:val="fr-FR"/>
        </w:rPr>
        <w:t>ment</w:t>
      </w:r>
      <w:r w:rsidR="00680D56">
        <w:rPr>
          <w:rFonts w:ascii="Arial" w:hAnsi="Arial" w:cs="Arial"/>
          <w:sz w:val="22"/>
          <w:szCs w:val="22"/>
          <w:lang w:val="fr-FR"/>
        </w:rPr>
        <w:t xml:space="preserve"> 38</w:t>
      </w:r>
      <w:r w:rsidR="00680D56" w:rsidRPr="00680D56">
        <w:rPr>
          <w:rFonts w:ascii="Arial" w:hAnsi="Arial" w:cs="Arial"/>
          <w:sz w:val="22"/>
          <w:szCs w:val="22"/>
          <w:vertAlign w:val="superscript"/>
          <w:lang w:val="fr-FR"/>
        </w:rPr>
        <w:t>e</w:t>
      </w:r>
      <w:r w:rsidR="00680D56">
        <w:rPr>
          <w:rFonts w:ascii="Arial" w:hAnsi="Arial" w:cs="Arial"/>
          <w:sz w:val="22"/>
          <w:szCs w:val="22"/>
          <w:lang w:val="fr-FR"/>
        </w:rPr>
        <w:t xml:space="preserve"> et 41</w:t>
      </w:r>
      <w:r w:rsidR="00680D56" w:rsidRPr="00680D56">
        <w:rPr>
          <w:rFonts w:ascii="Arial" w:hAnsi="Arial" w:cs="Arial"/>
          <w:sz w:val="22"/>
          <w:szCs w:val="22"/>
          <w:vertAlign w:val="superscript"/>
          <w:lang w:val="fr-FR"/>
        </w:rPr>
        <w:t>e</w:t>
      </w:r>
      <w:r w:rsidR="00680D56">
        <w:rPr>
          <w:rFonts w:ascii="Arial" w:hAnsi="Arial" w:cs="Arial"/>
          <w:sz w:val="22"/>
          <w:szCs w:val="22"/>
          <w:lang w:val="fr-FR"/>
        </w:rPr>
        <w:t xml:space="preserve"> </w:t>
      </w:r>
      <w:r w:rsidR="00C856C6">
        <w:rPr>
          <w:rFonts w:ascii="Arial" w:hAnsi="Arial" w:cs="Arial"/>
          <w:sz w:val="22"/>
          <w:szCs w:val="22"/>
          <w:lang w:val="fr-FR"/>
        </w:rPr>
        <w:t>places au</w:t>
      </w:r>
      <w:r w:rsidR="00680D56">
        <w:rPr>
          <w:rFonts w:ascii="Arial" w:hAnsi="Arial" w:cs="Arial"/>
          <w:sz w:val="22"/>
          <w:szCs w:val="22"/>
          <w:lang w:val="fr-FR"/>
        </w:rPr>
        <w:t xml:space="preserve"> classement international). </w:t>
      </w:r>
      <w:r w:rsidR="00632D03">
        <w:rPr>
          <w:rFonts w:ascii="Arial" w:hAnsi="Arial" w:cs="Arial"/>
          <w:sz w:val="22"/>
          <w:szCs w:val="22"/>
          <w:lang w:val="fr-FR"/>
        </w:rPr>
        <w:t>Pour contrecarrer cette tendance, le Luxembourg doit en particulier compter sur la capacité, n</w:t>
      </w:r>
      <w:r w:rsidR="000E7ABB">
        <w:rPr>
          <w:rFonts w:ascii="Arial" w:hAnsi="Arial" w:cs="Arial"/>
          <w:sz w:val="22"/>
          <w:szCs w:val="22"/>
          <w:lang w:val="fr-FR"/>
        </w:rPr>
        <w:t>otamment des Européens, à insuffler</w:t>
      </w:r>
      <w:r w:rsidR="00632D03">
        <w:rPr>
          <w:rFonts w:ascii="Arial" w:hAnsi="Arial" w:cs="Arial"/>
          <w:sz w:val="22"/>
          <w:szCs w:val="22"/>
          <w:lang w:val="fr-FR"/>
        </w:rPr>
        <w:t xml:space="preserve"> de la stabilité et de la </w:t>
      </w:r>
      <w:r w:rsidR="003E38E3">
        <w:rPr>
          <w:rFonts w:ascii="Arial" w:hAnsi="Arial" w:cs="Arial"/>
          <w:sz w:val="22"/>
          <w:szCs w:val="22"/>
          <w:lang w:val="fr-FR"/>
        </w:rPr>
        <w:t>sérénité</w:t>
      </w:r>
      <w:r w:rsidR="00632D03">
        <w:rPr>
          <w:rFonts w:ascii="Arial" w:hAnsi="Arial" w:cs="Arial"/>
          <w:sz w:val="22"/>
          <w:szCs w:val="22"/>
          <w:lang w:val="fr-FR"/>
        </w:rPr>
        <w:t xml:space="preserve"> à l’environnement global économique. Il doit également</w:t>
      </w:r>
      <w:r w:rsidR="00680D56">
        <w:rPr>
          <w:rFonts w:ascii="Arial" w:hAnsi="Arial" w:cs="Arial"/>
          <w:sz w:val="22"/>
          <w:szCs w:val="22"/>
          <w:lang w:val="fr-FR"/>
        </w:rPr>
        <w:t>,</w:t>
      </w:r>
      <w:r w:rsidR="00632D03">
        <w:rPr>
          <w:rFonts w:ascii="Arial" w:hAnsi="Arial" w:cs="Arial"/>
          <w:sz w:val="22"/>
          <w:szCs w:val="22"/>
          <w:lang w:val="fr-FR"/>
        </w:rPr>
        <w:t xml:space="preserve"> plus que jamais</w:t>
      </w:r>
      <w:r w:rsidR="00680D56">
        <w:rPr>
          <w:rFonts w:ascii="Arial" w:hAnsi="Arial" w:cs="Arial"/>
          <w:sz w:val="22"/>
          <w:szCs w:val="22"/>
          <w:lang w:val="fr-FR"/>
        </w:rPr>
        <w:t>,</w:t>
      </w:r>
      <w:r w:rsidR="00632D03">
        <w:rPr>
          <w:rFonts w:ascii="Arial" w:hAnsi="Arial" w:cs="Arial"/>
          <w:sz w:val="22"/>
          <w:szCs w:val="22"/>
          <w:lang w:val="fr-FR"/>
        </w:rPr>
        <w:t xml:space="preserve"> renforcer ses </w:t>
      </w:r>
      <w:r w:rsidR="003E38E3">
        <w:rPr>
          <w:rFonts w:ascii="Arial" w:hAnsi="Arial" w:cs="Arial"/>
          <w:sz w:val="22"/>
          <w:szCs w:val="22"/>
          <w:lang w:val="fr-FR"/>
        </w:rPr>
        <w:t xml:space="preserve">propres </w:t>
      </w:r>
      <w:r w:rsidR="00632D03">
        <w:rPr>
          <w:rFonts w:ascii="Arial" w:hAnsi="Arial" w:cs="Arial"/>
          <w:sz w:val="22"/>
          <w:szCs w:val="22"/>
          <w:lang w:val="fr-FR"/>
        </w:rPr>
        <w:t xml:space="preserve">efforts à </w:t>
      </w:r>
      <w:r w:rsidR="00E266C2">
        <w:rPr>
          <w:rFonts w:ascii="Arial" w:hAnsi="Arial" w:cs="Arial"/>
          <w:sz w:val="22"/>
          <w:szCs w:val="22"/>
          <w:lang w:val="fr-FR"/>
        </w:rPr>
        <w:t>équilibrer</w:t>
      </w:r>
      <w:r w:rsidR="00632D03">
        <w:rPr>
          <w:rFonts w:ascii="Arial" w:hAnsi="Arial" w:cs="Arial"/>
          <w:sz w:val="22"/>
          <w:szCs w:val="22"/>
          <w:lang w:val="fr-FR"/>
        </w:rPr>
        <w:t xml:space="preserve"> ses finances publiques</w:t>
      </w:r>
      <w:r w:rsidR="00E266C2">
        <w:rPr>
          <w:rFonts w:ascii="Arial" w:hAnsi="Arial" w:cs="Arial"/>
          <w:sz w:val="22"/>
          <w:szCs w:val="22"/>
          <w:lang w:val="fr-FR"/>
        </w:rPr>
        <w:t xml:space="preserve"> en vue de</w:t>
      </w:r>
      <w:r w:rsidR="003E38E3">
        <w:rPr>
          <w:rFonts w:ascii="Arial" w:hAnsi="Arial" w:cs="Arial"/>
          <w:sz w:val="22"/>
          <w:szCs w:val="22"/>
          <w:lang w:val="fr-FR"/>
        </w:rPr>
        <w:t xml:space="preserve"> conserver  sa capacité à mener des politiques proactives </w:t>
      </w:r>
      <w:r w:rsidR="00E266C2">
        <w:rPr>
          <w:rFonts w:ascii="Arial" w:hAnsi="Arial" w:cs="Arial"/>
          <w:sz w:val="22"/>
          <w:szCs w:val="22"/>
          <w:lang w:val="fr-FR"/>
        </w:rPr>
        <w:t>en faveur du développement socio-économique et du bien-être de ses citoyens</w:t>
      </w:r>
      <w:r w:rsidR="003E38E3">
        <w:rPr>
          <w:rFonts w:ascii="Arial" w:hAnsi="Arial" w:cs="Arial"/>
          <w:sz w:val="22"/>
          <w:szCs w:val="22"/>
          <w:lang w:val="fr-FR"/>
        </w:rPr>
        <w:t>. C’est d’ailleurs ce qui peut sembler faire défaut vu le</w:t>
      </w:r>
      <w:r w:rsidR="00632D03">
        <w:rPr>
          <w:rFonts w:ascii="Arial" w:hAnsi="Arial" w:cs="Arial"/>
          <w:sz w:val="22"/>
          <w:szCs w:val="22"/>
          <w:lang w:val="fr-FR"/>
        </w:rPr>
        <w:t xml:space="preserve"> déclassement du pays </w:t>
      </w:r>
      <w:r w:rsidR="00C856C6">
        <w:rPr>
          <w:rFonts w:ascii="Arial" w:hAnsi="Arial" w:cs="Arial"/>
          <w:sz w:val="22"/>
          <w:szCs w:val="22"/>
          <w:lang w:val="fr-FR"/>
        </w:rPr>
        <w:t>pour</w:t>
      </w:r>
      <w:r w:rsidR="00632D03">
        <w:rPr>
          <w:rFonts w:ascii="Arial" w:hAnsi="Arial" w:cs="Arial"/>
          <w:sz w:val="22"/>
          <w:szCs w:val="22"/>
          <w:lang w:val="fr-FR"/>
        </w:rPr>
        <w:t xml:space="preserve"> l’indicateur </w:t>
      </w:r>
      <w:r w:rsidR="00E266C2">
        <w:rPr>
          <w:rFonts w:ascii="Arial" w:hAnsi="Arial" w:cs="Arial"/>
          <w:sz w:val="22"/>
          <w:szCs w:val="22"/>
          <w:lang w:val="fr-FR"/>
        </w:rPr>
        <w:t xml:space="preserve">lié aux </w:t>
      </w:r>
      <w:r w:rsidR="00632D03">
        <w:rPr>
          <w:rFonts w:ascii="Arial" w:hAnsi="Arial" w:cs="Arial"/>
          <w:sz w:val="22"/>
          <w:szCs w:val="22"/>
          <w:lang w:val="fr-FR"/>
        </w:rPr>
        <w:t>infrastructure</w:t>
      </w:r>
      <w:r w:rsidR="00E266C2">
        <w:rPr>
          <w:rFonts w:ascii="Arial" w:hAnsi="Arial" w:cs="Arial"/>
          <w:sz w:val="22"/>
          <w:szCs w:val="22"/>
          <w:lang w:val="fr-FR"/>
        </w:rPr>
        <w:t>s</w:t>
      </w:r>
      <w:r w:rsidR="00632D03">
        <w:rPr>
          <w:rFonts w:ascii="Arial" w:hAnsi="Arial" w:cs="Arial"/>
          <w:sz w:val="22"/>
          <w:szCs w:val="22"/>
          <w:lang w:val="fr-FR"/>
        </w:rPr>
        <w:t xml:space="preserve">. </w:t>
      </w:r>
      <w:r w:rsidR="00680D56">
        <w:rPr>
          <w:rFonts w:ascii="Arial" w:hAnsi="Arial" w:cs="Arial"/>
          <w:sz w:val="22"/>
          <w:szCs w:val="22"/>
          <w:lang w:val="fr-FR"/>
        </w:rPr>
        <w:t xml:space="preserve">Il est à souligner que le Luxembourg atteint un piètre positionnement en matière d’infrastructures de transport aérien et d’infrastructures portuaires. </w:t>
      </w:r>
      <w:r w:rsidR="003E38E3">
        <w:rPr>
          <w:rFonts w:ascii="Arial" w:hAnsi="Arial" w:cs="Arial"/>
          <w:sz w:val="22"/>
          <w:szCs w:val="22"/>
          <w:lang w:val="fr-FR"/>
        </w:rPr>
        <w:t>L</w:t>
      </w:r>
      <w:r w:rsidR="00680D56">
        <w:rPr>
          <w:rFonts w:ascii="Arial" w:hAnsi="Arial" w:cs="Arial"/>
          <w:sz w:val="22"/>
          <w:szCs w:val="22"/>
          <w:lang w:val="fr-FR"/>
        </w:rPr>
        <w:t xml:space="preserve">es </w:t>
      </w:r>
      <w:r w:rsidR="003E38E3">
        <w:rPr>
          <w:rFonts w:ascii="Arial" w:hAnsi="Arial" w:cs="Arial"/>
          <w:sz w:val="22"/>
          <w:szCs w:val="22"/>
          <w:lang w:val="fr-FR"/>
        </w:rPr>
        <w:t>indicateur</w:t>
      </w:r>
      <w:r w:rsidR="00680D56">
        <w:rPr>
          <w:rFonts w:ascii="Arial" w:hAnsi="Arial" w:cs="Arial"/>
          <w:sz w:val="22"/>
          <w:szCs w:val="22"/>
          <w:lang w:val="fr-FR"/>
        </w:rPr>
        <w:t>s</w:t>
      </w:r>
      <w:r w:rsidR="003E38E3">
        <w:rPr>
          <w:rFonts w:ascii="Arial" w:hAnsi="Arial" w:cs="Arial"/>
          <w:sz w:val="22"/>
          <w:szCs w:val="22"/>
          <w:lang w:val="fr-FR"/>
        </w:rPr>
        <w:t xml:space="preserve"> en question ne pourr</w:t>
      </w:r>
      <w:r w:rsidR="00680D56">
        <w:rPr>
          <w:rFonts w:ascii="Arial" w:hAnsi="Arial" w:cs="Arial"/>
          <w:sz w:val="22"/>
          <w:szCs w:val="22"/>
          <w:lang w:val="fr-FR"/>
        </w:rPr>
        <w:t>ont</w:t>
      </w:r>
      <w:r w:rsidR="003E38E3">
        <w:rPr>
          <w:rFonts w:ascii="Arial" w:hAnsi="Arial" w:cs="Arial"/>
          <w:sz w:val="22"/>
          <w:szCs w:val="22"/>
          <w:lang w:val="fr-FR"/>
        </w:rPr>
        <w:t xml:space="preserve"> s’améliorer que si le Luxembourg parvient à garantir</w:t>
      </w:r>
      <w:r w:rsidR="00A41BA8">
        <w:rPr>
          <w:rFonts w:ascii="Arial" w:hAnsi="Arial" w:cs="Arial"/>
          <w:sz w:val="22"/>
          <w:szCs w:val="22"/>
          <w:lang w:val="fr-LU"/>
        </w:rPr>
        <w:t xml:space="preserve"> des investissements publics</w:t>
      </w:r>
      <w:r w:rsidR="000D13D4">
        <w:rPr>
          <w:rFonts w:ascii="Arial" w:hAnsi="Arial" w:cs="Arial"/>
          <w:sz w:val="22"/>
          <w:szCs w:val="22"/>
          <w:lang w:val="fr-LU"/>
        </w:rPr>
        <w:t xml:space="preserve"> </w:t>
      </w:r>
      <w:r w:rsidR="003E38E3">
        <w:rPr>
          <w:rFonts w:ascii="Arial" w:hAnsi="Arial" w:cs="Arial"/>
          <w:sz w:val="22"/>
          <w:szCs w:val="22"/>
          <w:lang w:val="fr-LU"/>
        </w:rPr>
        <w:t>ciblés et efficaces pour renforcer la capacité productive, y compris qualitative, du territoire. Pour ce faire, il est essentiel que le Grand-Duché puisse s’assurer des</w:t>
      </w:r>
      <w:r w:rsidR="0066513F">
        <w:rPr>
          <w:rFonts w:ascii="Arial" w:hAnsi="Arial" w:cs="Arial"/>
          <w:sz w:val="22"/>
          <w:szCs w:val="22"/>
          <w:lang w:val="fr-LU"/>
        </w:rPr>
        <w:t xml:space="preserve"> marge</w:t>
      </w:r>
      <w:r w:rsidR="003E38E3">
        <w:rPr>
          <w:rFonts w:ascii="Arial" w:hAnsi="Arial" w:cs="Arial"/>
          <w:sz w:val="22"/>
          <w:szCs w:val="22"/>
          <w:lang w:val="fr-LU"/>
        </w:rPr>
        <w:t>s</w:t>
      </w:r>
      <w:r w:rsidR="0066513F">
        <w:rPr>
          <w:rFonts w:ascii="Arial" w:hAnsi="Arial" w:cs="Arial"/>
          <w:sz w:val="22"/>
          <w:szCs w:val="22"/>
          <w:lang w:val="fr-LU"/>
        </w:rPr>
        <w:t xml:space="preserve"> de manœuvre</w:t>
      </w:r>
      <w:r w:rsidR="003E38E3">
        <w:rPr>
          <w:rFonts w:ascii="Arial" w:hAnsi="Arial" w:cs="Arial"/>
          <w:sz w:val="22"/>
          <w:szCs w:val="22"/>
          <w:lang w:val="fr-LU"/>
        </w:rPr>
        <w:t xml:space="preserve"> financières</w:t>
      </w:r>
      <w:r w:rsidR="00476A4F">
        <w:rPr>
          <w:rFonts w:ascii="Arial" w:hAnsi="Arial" w:cs="Arial"/>
          <w:sz w:val="22"/>
          <w:szCs w:val="22"/>
          <w:lang w:val="fr-LU"/>
        </w:rPr>
        <w:t>.</w:t>
      </w:r>
    </w:p>
    <w:p w:rsidR="00A41BA8" w:rsidRDefault="00A41BA8" w:rsidP="00876EB1">
      <w:pPr>
        <w:jc w:val="both"/>
        <w:rPr>
          <w:rFonts w:ascii="Arial" w:hAnsi="Arial" w:cs="Arial"/>
          <w:sz w:val="22"/>
          <w:szCs w:val="22"/>
          <w:lang w:val="fr-LU"/>
        </w:rPr>
      </w:pPr>
    </w:p>
    <w:p w:rsidR="00A500FA" w:rsidRDefault="00A41BA8" w:rsidP="002F4EC9">
      <w:pPr>
        <w:rPr>
          <w:rFonts w:ascii="Arial" w:hAnsi="Arial" w:cs="Arial"/>
          <w:b/>
          <w:sz w:val="22"/>
          <w:szCs w:val="22"/>
          <w:u w:val="single"/>
          <w:lang w:val="fr-LU"/>
        </w:rPr>
      </w:pPr>
      <w:r w:rsidRPr="002D731F">
        <w:rPr>
          <w:rFonts w:ascii="Arial" w:hAnsi="Arial" w:cs="Arial"/>
          <w:b/>
          <w:sz w:val="22"/>
          <w:szCs w:val="22"/>
          <w:u w:val="single"/>
          <w:lang w:val="fr-LU"/>
        </w:rPr>
        <w:t>Graphique</w:t>
      </w:r>
      <w:r w:rsidR="0027472E">
        <w:rPr>
          <w:rFonts w:ascii="Arial" w:hAnsi="Arial" w:cs="Arial"/>
          <w:b/>
          <w:sz w:val="22"/>
          <w:szCs w:val="22"/>
          <w:u w:val="single"/>
          <w:lang w:val="fr-LU"/>
        </w:rPr>
        <w:t xml:space="preserve"> </w:t>
      </w:r>
      <w:r w:rsidRPr="002D731F">
        <w:rPr>
          <w:rFonts w:ascii="Arial" w:hAnsi="Arial" w:cs="Arial"/>
          <w:b/>
          <w:sz w:val="22"/>
          <w:szCs w:val="22"/>
          <w:u w:val="single"/>
          <w:lang w:val="fr-LU"/>
        </w:rPr>
        <w:t xml:space="preserve">2 : Evolution de </w:t>
      </w:r>
      <w:r w:rsidR="00476A4F">
        <w:rPr>
          <w:rFonts w:ascii="Arial" w:hAnsi="Arial" w:cs="Arial"/>
          <w:b/>
          <w:sz w:val="22"/>
          <w:szCs w:val="22"/>
          <w:u w:val="single"/>
          <w:lang w:val="fr-LU"/>
        </w:rPr>
        <w:t>la catégorie</w:t>
      </w:r>
      <w:r w:rsidR="00EE4E0C">
        <w:rPr>
          <w:rFonts w:ascii="Arial" w:hAnsi="Arial" w:cs="Arial"/>
          <w:b/>
          <w:sz w:val="22"/>
          <w:szCs w:val="22"/>
          <w:u w:val="single"/>
          <w:lang w:val="fr-LU"/>
        </w:rPr>
        <w:t xml:space="preserve"> « Fondamentaux</w:t>
      </w:r>
      <w:r w:rsidRPr="002D731F">
        <w:rPr>
          <w:rFonts w:ascii="Arial" w:hAnsi="Arial" w:cs="Arial"/>
          <w:b/>
          <w:sz w:val="22"/>
          <w:szCs w:val="22"/>
          <w:u w:val="single"/>
          <w:lang w:val="fr-LU"/>
        </w:rPr>
        <w:t xml:space="preserve"> de compétitivité »</w:t>
      </w:r>
    </w:p>
    <w:p w:rsidR="008002C2" w:rsidRPr="002D731F" w:rsidRDefault="008002C2" w:rsidP="002F4EC9">
      <w:pPr>
        <w:rPr>
          <w:rFonts w:ascii="Arial" w:hAnsi="Arial" w:cs="Arial"/>
          <w:b/>
          <w:sz w:val="22"/>
          <w:szCs w:val="22"/>
          <w:u w:val="single"/>
          <w:lang w:val="fr-LU"/>
        </w:rPr>
      </w:pPr>
    </w:p>
    <w:p w:rsidR="00A500FA" w:rsidRPr="0010043D" w:rsidRDefault="009351E1" w:rsidP="00A500FA">
      <w:pPr>
        <w:jc w:val="center"/>
        <w:rPr>
          <w:rFonts w:ascii="Arial" w:hAnsi="Arial" w:cs="Arial"/>
          <w:sz w:val="22"/>
          <w:szCs w:val="22"/>
          <w:lang w:val="fr-LU"/>
        </w:rPr>
      </w:pPr>
      <w:r w:rsidRPr="009351E1">
        <w:rPr>
          <w:rFonts w:ascii="Arial" w:hAnsi="Arial" w:cs="Arial"/>
          <w:noProof/>
          <w:sz w:val="22"/>
          <w:szCs w:val="22"/>
        </w:rPr>
        <w:drawing>
          <wp:inline distT="0" distB="0" distL="0" distR="0">
            <wp:extent cx="5972810" cy="3471545"/>
            <wp:effectExtent l="57150" t="19050" r="4699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596F" w:rsidRPr="00AB62E5" w:rsidRDefault="00D3596F" w:rsidP="00876EB1">
      <w:pPr>
        <w:jc w:val="both"/>
        <w:rPr>
          <w:rFonts w:ascii="Arial" w:hAnsi="Arial" w:cs="Arial"/>
          <w:sz w:val="22"/>
          <w:szCs w:val="22"/>
          <w:lang w:val="fr-FR"/>
        </w:rPr>
      </w:pPr>
    </w:p>
    <w:p w:rsidR="009023B2" w:rsidRDefault="009023B2" w:rsidP="00AD720E">
      <w:pPr>
        <w:jc w:val="both"/>
        <w:rPr>
          <w:lang w:val="fr-LU"/>
        </w:rPr>
      </w:pPr>
    </w:p>
    <w:p w:rsidR="009A0C84" w:rsidRPr="006A602D" w:rsidRDefault="0027472E" w:rsidP="006A602D">
      <w:pPr>
        <w:jc w:val="both"/>
        <w:rPr>
          <w:rFonts w:ascii="Arial" w:hAnsi="Arial" w:cs="Arial"/>
          <w:sz w:val="22"/>
          <w:szCs w:val="22"/>
          <w:lang w:val="fr-FR"/>
        </w:rPr>
      </w:pPr>
      <w:r>
        <w:rPr>
          <w:rFonts w:ascii="Arial" w:hAnsi="Arial" w:cs="Arial"/>
          <w:sz w:val="22"/>
          <w:szCs w:val="22"/>
          <w:lang w:val="fr-LU"/>
        </w:rPr>
        <w:t>La</w:t>
      </w:r>
      <w:r w:rsidR="00EB78C5">
        <w:rPr>
          <w:rFonts w:ascii="Arial" w:hAnsi="Arial" w:cs="Arial"/>
          <w:sz w:val="22"/>
          <w:szCs w:val="22"/>
          <w:lang w:val="fr-FR"/>
        </w:rPr>
        <w:t xml:space="preserve"> </w:t>
      </w:r>
      <w:r w:rsidR="00EB78C5" w:rsidRPr="002D731F">
        <w:rPr>
          <w:rFonts w:ascii="Arial" w:hAnsi="Arial" w:cs="Arial"/>
          <w:b/>
          <w:sz w:val="22"/>
          <w:szCs w:val="22"/>
          <w:u w:val="single"/>
          <w:lang w:val="fr-FR"/>
        </w:rPr>
        <w:t>deuxième catégorie</w:t>
      </w:r>
      <w:r w:rsidR="00EB78C5">
        <w:rPr>
          <w:rFonts w:ascii="Arial" w:hAnsi="Arial" w:cs="Arial"/>
          <w:sz w:val="22"/>
          <w:szCs w:val="22"/>
          <w:lang w:val="fr-FR"/>
        </w:rPr>
        <w:t xml:space="preserve"> </w:t>
      </w:r>
      <w:r w:rsidR="000D13D4">
        <w:rPr>
          <w:rFonts w:ascii="Arial" w:hAnsi="Arial" w:cs="Arial"/>
          <w:sz w:val="22"/>
          <w:szCs w:val="22"/>
          <w:lang w:val="fr-FR"/>
        </w:rPr>
        <w:t>d’indicateurs</w:t>
      </w:r>
      <w:r w:rsidR="00EB78C5">
        <w:rPr>
          <w:rFonts w:ascii="Arial" w:hAnsi="Arial" w:cs="Arial"/>
          <w:sz w:val="22"/>
          <w:szCs w:val="22"/>
          <w:lang w:val="fr-FR"/>
        </w:rPr>
        <w:t xml:space="preserve"> analysés </w:t>
      </w:r>
      <w:r>
        <w:rPr>
          <w:rFonts w:ascii="Arial" w:hAnsi="Arial" w:cs="Arial"/>
          <w:sz w:val="22"/>
          <w:szCs w:val="22"/>
          <w:lang w:val="fr-FR"/>
        </w:rPr>
        <w:t>dans le GCI 2011-2012 a trait aux</w:t>
      </w:r>
      <w:r w:rsidR="008B7104" w:rsidRPr="009F36E1">
        <w:rPr>
          <w:rFonts w:ascii="Arial" w:hAnsi="Arial" w:cs="Arial"/>
          <w:sz w:val="22"/>
          <w:szCs w:val="22"/>
          <w:lang w:val="fr-FR"/>
        </w:rPr>
        <w:t xml:space="preserve"> </w:t>
      </w:r>
      <w:r w:rsidR="008B7104" w:rsidRPr="002D731F">
        <w:rPr>
          <w:rFonts w:ascii="Arial" w:hAnsi="Arial" w:cs="Arial"/>
          <w:b/>
          <w:i/>
          <w:sz w:val="22"/>
          <w:szCs w:val="22"/>
          <w:u w:val="single"/>
          <w:lang w:val="fr-FR"/>
        </w:rPr>
        <w:t>améliorateurs d’efficacité</w:t>
      </w:r>
      <w:r w:rsidR="008B7104" w:rsidRPr="009F36E1">
        <w:rPr>
          <w:rFonts w:ascii="Arial" w:hAnsi="Arial" w:cs="Arial"/>
          <w:sz w:val="22"/>
          <w:szCs w:val="22"/>
          <w:lang w:val="fr-FR"/>
        </w:rPr>
        <w:t xml:space="preserve"> (</w:t>
      </w:r>
      <w:r w:rsidR="00CB51BE">
        <w:rPr>
          <w:rFonts w:ascii="Arial" w:hAnsi="Arial" w:cs="Arial"/>
          <w:sz w:val="22"/>
          <w:szCs w:val="22"/>
          <w:lang w:val="fr-FR"/>
        </w:rPr>
        <w:t>« </w:t>
      </w:r>
      <w:proofErr w:type="spellStart"/>
      <w:r w:rsidR="008B7104" w:rsidRPr="009F36E1">
        <w:rPr>
          <w:rFonts w:ascii="Arial" w:hAnsi="Arial" w:cs="Arial"/>
          <w:i/>
          <w:sz w:val="22"/>
          <w:szCs w:val="22"/>
          <w:lang w:val="fr-FR"/>
        </w:rPr>
        <w:t>Efficiency</w:t>
      </w:r>
      <w:proofErr w:type="spellEnd"/>
      <w:r w:rsidR="008B7104" w:rsidRPr="009F36E1">
        <w:rPr>
          <w:rFonts w:ascii="Arial" w:hAnsi="Arial" w:cs="Arial"/>
          <w:i/>
          <w:sz w:val="22"/>
          <w:szCs w:val="22"/>
          <w:lang w:val="fr-FR"/>
        </w:rPr>
        <w:t xml:space="preserve"> </w:t>
      </w:r>
      <w:proofErr w:type="spellStart"/>
      <w:r w:rsidR="008B7104" w:rsidRPr="009F36E1">
        <w:rPr>
          <w:rFonts w:ascii="Arial" w:hAnsi="Arial" w:cs="Arial"/>
          <w:i/>
          <w:sz w:val="22"/>
          <w:szCs w:val="22"/>
          <w:lang w:val="fr-FR"/>
        </w:rPr>
        <w:t>enhancers</w:t>
      </w:r>
      <w:proofErr w:type="spellEnd"/>
      <w:r w:rsidR="00CB51BE">
        <w:rPr>
          <w:rFonts w:ascii="Arial" w:hAnsi="Arial" w:cs="Arial"/>
          <w:i/>
          <w:sz w:val="22"/>
          <w:szCs w:val="22"/>
          <w:lang w:val="fr-FR"/>
        </w:rPr>
        <w:t> »</w:t>
      </w:r>
      <w:r w:rsidR="00FD0CF7" w:rsidRPr="009F36E1">
        <w:rPr>
          <w:rFonts w:ascii="Arial" w:hAnsi="Arial" w:cs="Arial"/>
          <w:sz w:val="22"/>
          <w:szCs w:val="22"/>
          <w:lang w:val="fr-FR"/>
        </w:rPr>
        <w:t>)</w:t>
      </w:r>
      <w:r>
        <w:rPr>
          <w:rFonts w:ascii="Arial" w:hAnsi="Arial" w:cs="Arial"/>
          <w:sz w:val="22"/>
          <w:szCs w:val="22"/>
          <w:lang w:val="fr-FR"/>
        </w:rPr>
        <w:t>, pour lesquels la dégradation compétitive relative est nette et particulièrement inquiétante</w:t>
      </w:r>
      <w:r w:rsidR="009A0C84">
        <w:rPr>
          <w:rFonts w:ascii="Arial" w:hAnsi="Arial" w:cs="Arial"/>
          <w:sz w:val="22"/>
          <w:szCs w:val="22"/>
          <w:lang w:val="fr-FR"/>
        </w:rPr>
        <w:t xml:space="preserve"> (perte de 3 places)</w:t>
      </w:r>
      <w:r w:rsidR="00FD0CF7" w:rsidRPr="009F36E1">
        <w:rPr>
          <w:rFonts w:ascii="Arial" w:hAnsi="Arial" w:cs="Arial"/>
          <w:sz w:val="22"/>
          <w:szCs w:val="22"/>
          <w:lang w:val="fr-FR"/>
        </w:rPr>
        <w:t>.</w:t>
      </w:r>
      <w:r w:rsidR="00130A3A">
        <w:rPr>
          <w:rFonts w:ascii="Arial" w:hAnsi="Arial" w:cs="Arial"/>
          <w:sz w:val="22"/>
          <w:szCs w:val="22"/>
          <w:lang w:val="fr-FR"/>
        </w:rPr>
        <w:t xml:space="preserve"> L</w:t>
      </w:r>
      <w:r w:rsidR="00150A2A">
        <w:rPr>
          <w:rFonts w:ascii="Arial" w:hAnsi="Arial" w:cs="Arial"/>
          <w:sz w:val="22"/>
          <w:szCs w:val="22"/>
          <w:lang w:val="fr-FR"/>
        </w:rPr>
        <w:t>e</w:t>
      </w:r>
      <w:r w:rsidR="00130A3A">
        <w:rPr>
          <w:rFonts w:ascii="Arial" w:hAnsi="Arial" w:cs="Arial"/>
          <w:sz w:val="22"/>
          <w:szCs w:val="22"/>
          <w:lang w:val="fr-FR"/>
        </w:rPr>
        <w:t xml:space="preserve"> graphique</w:t>
      </w:r>
      <w:r>
        <w:rPr>
          <w:rFonts w:ascii="Arial" w:hAnsi="Arial" w:cs="Arial"/>
          <w:sz w:val="22"/>
          <w:szCs w:val="22"/>
          <w:lang w:val="fr-FR"/>
        </w:rPr>
        <w:t xml:space="preserve"> </w:t>
      </w:r>
      <w:r w:rsidR="00150A2A">
        <w:rPr>
          <w:rFonts w:ascii="Arial" w:hAnsi="Arial" w:cs="Arial"/>
          <w:sz w:val="22"/>
          <w:szCs w:val="22"/>
          <w:lang w:val="fr-FR"/>
        </w:rPr>
        <w:t>3</w:t>
      </w:r>
      <w:r w:rsidR="00732773">
        <w:rPr>
          <w:rFonts w:ascii="Arial" w:hAnsi="Arial" w:cs="Arial"/>
          <w:sz w:val="22"/>
          <w:szCs w:val="22"/>
          <w:lang w:val="fr-FR"/>
        </w:rPr>
        <w:t xml:space="preserve"> m</w:t>
      </w:r>
      <w:r w:rsidR="00CB51C8">
        <w:rPr>
          <w:rFonts w:ascii="Arial" w:hAnsi="Arial" w:cs="Arial"/>
          <w:sz w:val="22"/>
          <w:szCs w:val="22"/>
          <w:lang w:val="fr-FR"/>
        </w:rPr>
        <w:t>ontr</w:t>
      </w:r>
      <w:r w:rsidR="00130A3A">
        <w:rPr>
          <w:rFonts w:ascii="Arial" w:hAnsi="Arial" w:cs="Arial"/>
          <w:sz w:val="22"/>
          <w:szCs w:val="22"/>
          <w:lang w:val="fr-FR"/>
        </w:rPr>
        <w:t>e</w:t>
      </w:r>
      <w:r>
        <w:rPr>
          <w:rFonts w:ascii="Arial" w:hAnsi="Arial" w:cs="Arial"/>
          <w:sz w:val="22"/>
          <w:szCs w:val="22"/>
          <w:lang w:val="fr-FR"/>
        </w:rPr>
        <w:t>, hormis le cas irlandais grandement conditionné par la crise de la dette souveraine dans ce pays,</w:t>
      </w:r>
      <w:r w:rsidR="00CB51C8">
        <w:rPr>
          <w:rFonts w:ascii="Arial" w:hAnsi="Arial" w:cs="Arial"/>
          <w:sz w:val="22"/>
          <w:szCs w:val="22"/>
          <w:lang w:val="fr-FR"/>
        </w:rPr>
        <w:t xml:space="preserve"> que le Luxembourg </w:t>
      </w:r>
      <w:r>
        <w:rPr>
          <w:rFonts w:ascii="Arial" w:hAnsi="Arial" w:cs="Arial"/>
          <w:sz w:val="22"/>
          <w:szCs w:val="22"/>
          <w:lang w:val="fr-FR"/>
        </w:rPr>
        <w:t>est déclassé en comparaison avec nombre de ses principaux partenaires économiques</w:t>
      </w:r>
      <w:r w:rsidR="00CB51C8">
        <w:rPr>
          <w:rFonts w:ascii="Arial" w:hAnsi="Arial" w:cs="Arial"/>
          <w:sz w:val="22"/>
          <w:szCs w:val="22"/>
          <w:lang w:val="fr-FR"/>
        </w:rPr>
        <w:t xml:space="preserve"> (</w:t>
      </w:r>
      <w:r>
        <w:rPr>
          <w:rFonts w:ascii="Arial" w:hAnsi="Arial" w:cs="Arial"/>
          <w:sz w:val="22"/>
          <w:szCs w:val="22"/>
          <w:lang w:val="fr-FR"/>
        </w:rPr>
        <w:t>il retrouve la</w:t>
      </w:r>
      <w:r w:rsidR="00CB51C8">
        <w:rPr>
          <w:rFonts w:ascii="Arial" w:hAnsi="Arial" w:cs="Arial"/>
          <w:sz w:val="22"/>
          <w:szCs w:val="22"/>
          <w:lang w:val="fr-FR"/>
        </w:rPr>
        <w:t xml:space="preserve"> 2</w:t>
      </w:r>
      <w:r w:rsidR="002D731F">
        <w:rPr>
          <w:rFonts w:ascii="Arial" w:hAnsi="Arial" w:cs="Arial"/>
          <w:sz w:val="22"/>
          <w:szCs w:val="22"/>
          <w:lang w:val="fr-FR"/>
        </w:rPr>
        <w:t>3</w:t>
      </w:r>
      <w:r w:rsidR="00CB51C8" w:rsidRPr="00CB51C8">
        <w:rPr>
          <w:rFonts w:ascii="Arial" w:hAnsi="Arial" w:cs="Arial"/>
          <w:sz w:val="22"/>
          <w:szCs w:val="22"/>
          <w:vertAlign w:val="superscript"/>
          <w:lang w:val="fr-FR"/>
        </w:rPr>
        <w:t>e</w:t>
      </w:r>
      <w:r w:rsidR="00CB51C8">
        <w:rPr>
          <w:rFonts w:ascii="Arial" w:hAnsi="Arial" w:cs="Arial"/>
          <w:sz w:val="22"/>
          <w:szCs w:val="22"/>
          <w:lang w:val="fr-FR"/>
        </w:rPr>
        <w:t xml:space="preserve"> </w:t>
      </w:r>
      <w:r>
        <w:rPr>
          <w:rFonts w:ascii="Arial" w:hAnsi="Arial" w:cs="Arial"/>
          <w:sz w:val="22"/>
          <w:szCs w:val="22"/>
          <w:lang w:val="fr-FR"/>
        </w:rPr>
        <w:t xml:space="preserve">place du classement qu’il avait déjà connue </w:t>
      </w:r>
      <w:r w:rsidR="00CB51C8">
        <w:rPr>
          <w:rFonts w:ascii="Arial" w:hAnsi="Arial" w:cs="Arial"/>
          <w:sz w:val="22"/>
          <w:szCs w:val="22"/>
          <w:lang w:val="fr-FR"/>
        </w:rPr>
        <w:t xml:space="preserve">en 2009). </w:t>
      </w:r>
      <w:r>
        <w:rPr>
          <w:rFonts w:ascii="Arial" w:hAnsi="Arial" w:cs="Arial"/>
          <w:sz w:val="22"/>
          <w:szCs w:val="22"/>
          <w:lang w:val="fr-FR"/>
        </w:rPr>
        <w:t>Il est à noter une relative stabilité de la position compétitive luxembourgeoise pour ce qui est des piliers</w:t>
      </w:r>
      <w:r w:rsidR="00CB51C8">
        <w:rPr>
          <w:rFonts w:ascii="Arial" w:hAnsi="Arial" w:cs="Arial"/>
          <w:sz w:val="22"/>
          <w:szCs w:val="22"/>
          <w:lang w:val="fr-FR"/>
        </w:rPr>
        <w:t xml:space="preserve"> </w:t>
      </w:r>
      <w:r w:rsidR="00CB51C8" w:rsidRPr="00CB51C8">
        <w:rPr>
          <w:rFonts w:ascii="Arial" w:hAnsi="Arial" w:cs="Arial"/>
          <w:i/>
          <w:sz w:val="22"/>
          <w:szCs w:val="22"/>
          <w:lang w:val="fr-FR"/>
        </w:rPr>
        <w:t>enseignement supérieur et formation continue</w:t>
      </w:r>
      <w:r w:rsidR="00732773">
        <w:rPr>
          <w:rFonts w:ascii="Arial" w:hAnsi="Arial" w:cs="Arial"/>
          <w:i/>
          <w:sz w:val="22"/>
          <w:szCs w:val="22"/>
          <w:lang w:val="fr-FR"/>
        </w:rPr>
        <w:t xml:space="preserve"> </w:t>
      </w:r>
      <w:r>
        <w:rPr>
          <w:rFonts w:ascii="Arial" w:hAnsi="Arial" w:cs="Arial"/>
          <w:sz w:val="22"/>
          <w:szCs w:val="22"/>
          <w:lang w:val="fr-FR"/>
        </w:rPr>
        <w:t>(+1</w:t>
      </w:r>
      <w:r w:rsidR="00732773">
        <w:rPr>
          <w:rFonts w:ascii="Arial" w:hAnsi="Arial" w:cs="Arial"/>
          <w:sz w:val="22"/>
          <w:szCs w:val="22"/>
          <w:lang w:val="fr-FR"/>
        </w:rPr>
        <w:t xml:space="preserve"> plac</w:t>
      </w:r>
      <w:r>
        <w:rPr>
          <w:rFonts w:ascii="Arial" w:hAnsi="Arial" w:cs="Arial"/>
          <w:sz w:val="22"/>
          <w:szCs w:val="22"/>
          <w:lang w:val="fr-FR"/>
        </w:rPr>
        <w:t>e</w:t>
      </w:r>
      <w:r w:rsidR="00732773">
        <w:rPr>
          <w:rFonts w:ascii="Arial" w:hAnsi="Arial" w:cs="Arial"/>
          <w:sz w:val="22"/>
          <w:szCs w:val="22"/>
          <w:lang w:val="fr-FR"/>
        </w:rPr>
        <w:t>)</w:t>
      </w:r>
      <w:r w:rsidR="009A0C84">
        <w:rPr>
          <w:rFonts w:ascii="Arial" w:hAnsi="Arial" w:cs="Arial"/>
          <w:sz w:val="22"/>
          <w:szCs w:val="22"/>
          <w:lang w:val="fr-FR"/>
        </w:rPr>
        <w:t xml:space="preserve"> et </w:t>
      </w:r>
      <w:r w:rsidR="00CB51C8" w:rsidRPr="00CB51C8">
        <w:rPr>
          <w:rFonts w:ascii="Arial" w:hAnsi="Arial" w:cs="Arial"/>
          <w:i/>
          <w:sz w:val="22"/>
          <w:szCs w:val="22"/>
          <w:lang w:val="fr-FR"/>
        </w:rPr>
        <w:t>efficacité</w:t>
      </w:r>
      <w:r w:rsidR="009A0C84">
        <w:rPr>
          <w:rFonts w:ascii="Arial" w:hAnsi="Arial" w:cs="Arial"/>
          <w:i/>
          <w:sz w:val="22"/>
          <w:szCs w:val="22"/>
          <w:lang w:val="fr-FR"/>
        </w:rPr>
        <w:t xml:space="preserve"> des</w:t>
      </w:r>
      <w:r w:rsidR="00CB51C8" w:rsidRPr="00CB51C8">
        <w:rPr>
          <w:rFonts w:ascii="Arial" w:hAnsi="Arial" w:cs="Arial"/>
          <w:i/>
          <w:sz w:val="22"/>
          <w:szCs w:val="22"/>
          <w:lang w:val="fr-FR"/>
        </w:rPr>
        <w:t xml:space="preserve"> marché</w:t>
      </w:r>
      <w:r w:rsidR="009A0C84">
        <w:rPr>
          <w:rFonts w:ascii="Arial" w:hAnsi="Arial" w:cs="Arial"/>
          <w:i/>
          <w:sz w:val="22"/>
          <w:szCs w:val="22"/>
          <w:lang w:val="fr-FR"/>
        </w:rPr>
        <w:t>s de biens</w:t>
      </w:r>
      <w:r w:rsidR="000B7B2E">
        <w:rPr>
          <w:rFonts w:ascii="Arial" w:hAnsi="Arial" w:cs="Arial"/>
          <w:i/>
          <w:sz w:val="22"/>
          <w:szCs w:val="22"/>
          <w:lang w:val="fr-FR"/>
        </w:rPr>
        <w:t xml:space="preserve"> et services</w:t>
      </w:r>
      <w:r w:rsidR="009A0C84">
        <w:rPr>
          <w:rFonts w:ascii="Arial" w:hAnsi="Arial" w:cs="Arial"/>
          <w:i/>
          <w:sz w:val="22"/>
          <w:szCs w:val="22"/>
          <w:lang w:val="fr-FR"/>
        </w:rPr>
        <w:t xml:space="preserve"> </w:t>
      </w:r>
      <w:r w:rsidR="009A0C84" w:rsidRPr="009A0C84">
        <w:rPr>
          <w:rFonts w:ascii="Arial" w:hAnsi="Arial" w:cs="Arial"/>
          <w:sz w:val="22"/>
          <w:szCs w:val="22"/>
          <w:lang w:val="fr-FR"/>
        </w:rPr>
        <w:t>(+1 place également)</w:t>
      </w:r>
      <w:r w:rsidR="009A0C84">
        <w:rPr>
          <w:rFonts w:ascii="Arial" w:hAnsi="Arial" w:cs="Arial"/>
          <w:sz w:val="22"/>
          <w:szCs w:val="22"/>
          <w:lang w:val="fr-FR"/>
        </w:rPr>
        <w:t>. Le premier demeure visiblement une des faiblesses structurelles du pays les plus fortes vu le positionnement relatif très défavorable (40</w:t>
      </w:r>
      <w:r w:rsidR="009A0C84" w:rsidRPr="009A0C84">
        <w:rPr>
          <w:rFonts w:ascii="Arial" w:hAnsi="Arial" w:cs="Arial"/>
          <w:sz w:val="22"/>
          <w:szCs w:val="22"/>
          <w:vertAlign w:val="superscript"/>
          <w:lang w:val="fr-FR"/>
        </w:rPr>
        <w:t>e</w:t>
      </w:r>
      <w:r w:rsidR="009A0C84">
        <w:rPr>
          <w:rFonts w:ascii="Arial" w:hAnsi="Arial" w:cs="Arial"/>
          <w:sz w:val="22"/>
          <w:szCs w:val="22"/>
          <w:lang w:val="fr-FR"/>
        </w:rPr>
        <w:t xml:space="preserve"> rang). </w:t>
      </w:r>
      <w:r w:rsidR="002E1A30">
        <w:rPr>
          <w:rFonts w:ascii="Arial" w:hAnsi="Arial" w:cs="Arial"/>
          <w:sz w:val="22"/>
          <w:szCs w:val="22"/>
          <w:lang w:val="fr-FR"/>
        </w:rPr>
        <w:t xml:space="preserve">De manière générale, les piliers 4 et 5, qui ont trait globalement aux thématiques d’éducation et de formation, </w:t>
      </w:r>
      <w:r w:rsidR="00C856C6">
        <w:rPr>
          <w:rFonts w:ascii="Arial" w:hAnsi="Arial" w:cs="Arial"/>
          <w:sz w:val="22"/>
          <w:szCs w:val="22"/>
          <w:lang w:val="fr-FR"/>
        </w:rPr>
        <w:t>figur</w:t>
      </w:r>
      <w:r w:rsidR="002E1A30">
        <w:rPr>
          <w:rFonts w:ascii="Arial" w:hAnsi="Arial" w:cs="Arial"/>
          <w:sz w:val="22"/>
          <w:szCs w:val="22"/>
          <w:lang w:val="fr-FR"/>
        </w:rPr>
        <w:t>ent parmi les performances les plus mauvaises du Grand-Duché : 30</w:t>
      </w:r>
      <w:r w:rsidR="002E1A30" w:rsidRPr="002E1A30">
        <w:rPr>
          <w:rFonts w:ascii="Arial" w:hAnsi="Arial" w:cs="Arial"/>
          <w:sz w:val="22"/>
          <w:szCs w:val="22"/>
          <w:vertAlign w:val="superscript"/>
          <w:lang w:val="fr-FR"/>
        </w:rPr>
        <w:t>e</w:t>
      </w:r>
      <w:r w:rsidR="002E1A30">
        <w:rPr>
          <w:rFonts w:ascii="Arial" w:hAnsi="Arial" w:cs="Arial"/>
          <w:sz w:val="22"/>
          <w:szCs w:val="22"/>
          <w:lang w:val="fr-FR"/>
        </w:rPr>
        <w:t xml:space="preserve"> selon le critère de qualité de l’éducation primaire, 35</w:t>
      </w:r>
      <w:r w:rsidR="002E1A30" w:rsidRPr="002E1A30">
        <w:rPr>
          <w:rFonts w:ascii="Arial" w:hAnsi="Arial" w:cs="Arial"/>
          <w:sz w:val="22"/>
          <w:szCs w:val="22"/>
          <w:vertAlign w:val="superscript"/>
          <w:lang w:val="fr-FR"/>
        </w:rPr>
        <w:t>e</w:t>
      </w:r>
      <w:r w:rsidR="002E1A30">
        <w:rPr>
          <w:rFonts w:ascii="Arial" w:hAnsi="Arial" w:cs="Arial"/>
          <w:sz w:val="22"/>
          <w:szCs w:val="22"/>
          <w:lang w:val="fr-FR"/>
        </w:rPr>
        <w:t xml:space="preserve"> selon le critère de qualité du système d’éducation, 58</w:t>
      </w:r>
      <w:r w:rsidR="002E1A30" w:rsidRPr="002E1A30">
        <w:rPr>
          <w:rFonts w:ascii="Arial" w:hAnsi="Arial" w:cs="Arial"/>
          <w:sz w:val="22"/>
          <w:szCs w:val="22"/>
          <w:vertAlign w:val="superscript"/>
          <w:lang w:val="fr-FR"/>
        </w:rPr>
        <w:t>e</w:t>
      </w:r>
      <w:r w:rsidR="002E1A30">
        <w:rPr>
          <w:rFonts w:ascii="Arial" w:hAnsi="Arial" w:cs="Arial"/>
          <w:sz w:val="22"/>
          <w:szCs w:val="22"/>
          <w:lang w:val="fr-FR"/>
        </w:rPr>
        <w:t xml:space="preserve"> selon le critère de qualité des écoles de management. Il y a donc</w:t>
      </w:r>
      <w:r w:rsidR="00C856C6">
        <w:rPr>
          <w:rFonts w:ascii="Arial" w:hAnsi="Arial" w:cs="Arial"/>
          <w:sz w:val="22"/>
          <w:szCs w:val="22"/>
          <w:lang w:val="fr-FR"/>
        </w:rPr>
        <w:t>,</w:t>
      </w:r>
      <w:r w:rsidR="002E1A30">
        <w:rPr>
          <w:rFonts w:ascii="Arial" w:hAnsi="Arial" w:cs="Arial"/>
          <w:sz w:val="22"/>
          <w:szCs w:val="22"/>
          <w:lang w:val="fr-FR"/>
        </w:rPr>
        <w:t xml:space="preserve"> dans ce champ d’action des pouvoirs publics et des acteurs luxembourgeois</w:t>
      </w:r>
      <w:r w:rsidR="00C856C6">
        <w:rPr>
          <w:rFonts w:ascii="Arial" w:hAnsi="Arial" w:cs="Arial"/>
          <w:sz w:val="22"/>
          <w:szCs w:val="22"/>
          <w:lang w:val="fr-FR"/>
        </w:rPr>
        <w:t>,</w:t>
      </w:r>
      <w:r w:rsidR="002E1A30">
        <w:rPr>
          <w:rFonts w:ascii="Arial" w:hAnsi="Arial" w:cs="Arial"/>
          <w:sz w:val="22"/>
          <w:szCs w:val="22"/>
          <w:lang w:val="fr-FR"/>
        </w:rPr>
        <w:t xml:space="preserve"> matière à conduire des réformes et à améliorer la capacité compétitive du pays. </w:t>
      </w:r>
      <w:r w:rsidR="009A0C84">
        <w:rPr>
          <w:rFonts w:ascii="Arial" w:hAnsi="Arial" w:cs="Arial"/>
          <w:sz w:val="22"/>
          <w:szCs w:val="22"/>
          <w:lang w:val="fr-FR"/>
        </w:rPr>
        <w:t>Toutefois, la mesure et l’interprétation de</w:t>
      </w:r>
      <w:r w:rsidR="002E1A30">
        <w:rPr>
          <w:rFonts w:ascii="Arial" w:hAnsi="Arial" w:cs="Arial"/>
          <w:sz w:val="22"/>
          <w:szCs w:val="22"/>
          <w:lang w:val="fr-FR"/>
        </w:rPr>
        <w:t xml:space="preserve"> </w:t>
      </w:r>
      <w:r w:rsidR="00C856C6">
        <w:rPr>
          <w:rFonts w:ascii="Arial" w:hAnsi="Arial" w:cs="Arial"/>
          <w:sz w:val="22"/>
          <w:szCs w:val="22"/>
          <w:lang w:val="fr-FR"/>
        </w:rPr>
        <w:t>plusieurs</w:t>
      </w:r>
      <w:r w:rsidR="009A0C84">
        <w:rPr>
          <w:rFonts w:ascii="Arial" w:hAnsi="Arial" w:cs="Arial"/>
          <w:sz w:val="22"/>
          <w:szCs w:val="22"/>
          <w:lang w:val="fr-FR"/>
        </w:rPr>
        <w:t xml:space="preserve"> </w:t>
      </w:r>
      <w:r w:rsidR="002E1A30">
        <w:rPr>
          <w:rFonts w:ascii="Arial" w:hAnsi="Arial" w:cs="Arial"/>
          <w:sz w:val="22"/>
          <w:szCs w:val="22"/>
          <w:lang w:val="fr-FR"/>
        </w:rPr>
        <w:t>autres</w:t>
      </w:r>
      <w:r w:rsidR="009A0C84">
        <w:rPr>
          <w:rFonts w:ascii="Arial" w:hAnsi="Arial" w:cs="Arial"/>
          <w:sz w:val="22"/>
          <w:szCs w:val="22"/>
          <w:lang w:val="fr-FR"/>
        </w:rPr>
        <w:t xml:space="preserve"> indicateurs</w:t>
      </w:r>
      <w:r w:rsidR="002E1A30">
        <w:rPr>
          <w:rFonts w:ascii="Arial" w:hAnsi="Arial" w:cs="Arial"/>
          <w:sz w:val="22"/>
          <w:szCs w:val="22"/>
          <w:lang w:val="fr-FR"/>
        </w:rPr>
        <w:t xml:space="preserve"> </w:t>
      </w:r>
      <w:r w:rsidR="009A0C84">
        <w:rPr>
          <w:rFonts w:ascii="Arial" w:hAnsi="Arial" w:cs="Arial"/>
          <w:sz w:val="22"/>
          <w:szCs w:val="22"/>
          <w:lang w:val="fr-FR"/>
        </w:rPr>
        <w:t xml:space="preserve">se doit d’être </w:t>
      </w:r>
      <w:r w:rsidR="002E1A30">
        <w:rPr>
          <w:rFonts w:ascii="Arial" w:hAnsi="Arial" w:cs="Arial"/>
          <w:sz w:val="22"/>
          <w:szCs w:val="22"/>
          <w:lang w:val="fr-FR"/>
        </w:rPr>
        <w:t xml:space="preserve">très </w:t>
      </w:r>
      <w:r w:rsidR="009A0C84">
        <w:rPr>
          <w:rFonts w:ascii="Arial" w:hAnsi="Arial" w:cs="Arial"/>
          <w:sz w:val="22"/>
          <w:szCs w:val="22"/>
          <w:lang w:val="fr-FR"/>
        </w:rPr>
        <w:t xml:space="preserve">prudente : la prise en compte, par exemple, du taux d’inscription en études supérieures est par nature faussée dans la mesure où nombre d’étudiants luxembourgeois partent à l’étranger boucler leur formation supérieure. </w:t>
      </w:r>
      <w:r w:rsidR="00C44591">
        <w:rPr>
          <w:rFonts w:ascii="Arial" w:hAnsi="Arial" w:cs="Arial"/>
          <w:sz w:val="22"/>
          <w:szCs w:val="22"/>
          <w:lang w:val="fr-FR"/>
        </w:rPr>
        <w:t>Le second pilier, en lien avec le fonctionnement des marchés de biens, demeure apparemment un point fort du Luxembourg. Selon le W</w:t>
      </w:r>
      <w:r w:rsidR="00E46DF6">
        <w:rPr>
          <w:rFonts w:ascii="Arial" w:hAnsi="Arial" w:cs="Arial"/>
          <w:sz w:val="22"/>
          <w:szCs w:val="22"/>
          <w:lang w:val="fr-FR"/>
        </w:rPr>
        <w:t xml:space="preserve">orld </w:t>
      </w:r>
      <w:proofErr w:type="spellStart"/>
      <w:r w:rsidR="00E46DF6" w:rsidRPr="006A602D">
        <w:rPr>
          <w:rFonts w:ascii="Arial" w:hAnsi="Arial" w:cs="Arial"/>
          <w:sz w:val="22"/>
          <w:szCs w:val="22"/>
          <w:lang w:val="fr-FR"/>
        </w:rPr>
        <w:t>Economic</w:t>
      </w:r>
      <w:proofErr w:type="spellEnd"/>
      <w:r w:rsidR="00E46DF6" w:rsidRPr="006A602D">
        <w:rPr>
          <w:rFonts w:ascii="Arial" w:hAnsi="Arial" w:cs="Arial"/>
          <w:sz w:val="22"/>
          <w:szCs w:val="22"/>
          <w:lang w:val="fr-FR"/>
        </w:rPr>
        <w:t xml:space="preserve"> Forum</w:t>
      </w:r>
      <w:r w:rsidR="00C44591" w:rsidRPr="006A602D">
        <w:rPr>
          <w:rFonts w:ascii="Arial" w:hAnsi="Arial" w:cs="Arial"/>
          <w:sz w:val="22"/>
          <w:szCs w:val="22"/>
          <w:lang w:val="fr-FR"/>
        </w:rPr>
        <w:t>, il renvoie à la capacité d’un pays à développer des marchés ouverts, avec des conditions de concurrence transparente, un système fiscal et réglementaire équilibré qui ne contraint pas l’attrait des investissements étrangers. Au Luxembourg de maintenir</w:t>
      </w:r>
      <w:r w:rsidR="00E266C2" w:rsidRPr="006A602D">
        <w:rPr>
          <w:rFonts w:ascii="Arial" w:hAnsi="Arial" w:cs="Arial"/>
          <w:sz w:val="22"/>
          <w:szCs w:val="22"/>
          <w:lang w:val="fr-FR"/>
        </w:rPr>
        <w:t>,</w:t>
      </w:r>
      <w:r w:rsidR="00C44591" w:rsidRPr="006A602D">
        <w:rPr>
          <w:rFonts w:ascii="Arial" w:hAnsi="Arial" w:cs="Arial"/>
          <w:sz w:val="22"/>
          <w:szCs w:val="22"/>
          <w:lang w:val="fr-FR"/>
        </w:rPr>
        <w:t xml:space="preserve"> </w:t>
      </w:r>
      <w:r w:rsidR="00BE5C29" w:rsidRPr="006A602D">
        <w:rPr>
          <w:rFonts w:ascii="Arial" w:hAnsi="Arial" w:cs="Arial"/>
          <w:sz w:val="22"/>
          <w:szCs w:val="22"/>
          <w:lang w:val="fr-FR"/>
        </w:rPr>
        <w:t>voire de renforcer</w:t>
      </w:r>
      <w:r w:rsidR="00E266C2" w:rsidRPr="006A602D">
        <w:rPr>
          <w:rFonts w:ascii="Arial" w:hAnsi="Arial" w:cs="Arial"/>
          <w:sz w:val="22"/>
          <w:szCs w:val="22"/>
          <w:lang w:val="fr-FR"/>
        </w:rPr>
        <w:t>,</w:t>
      </w:r>
      <w:r w:rsidR="00BE5C29" w:rsidRPr="006A602D">
        <w:rPr>
          <w:rFonts w:ascii="Arial" w:hAnsi="Arial" w:cs="Arial"/>
          <w:sz w:val="22"/>
          <w:szCs w:val="22"/>
          <w:lang w:val="fr-FR"/>
        </w:rPr>
        <w:t xml:space="preserve"> </w:t>
      </w:r>
      <w:r w:rsidR="00C44591" w:rsidRPr="006A602D">
        <w:rPr>
          <w:rFonts w:ascii="Arial" w:hAnsi="Arial" w:cs="Arial"/>
          <w:sz w:val="22"/>
          <w:szCs w:val="22"/>
          <w:lang w:val="fr-FR"/>
        </w:rPr>
        <w:t>l’un de ces rares points forts au regard du présent benchmark international.</w:t>
      </w:r>
    </w:p>
    <w:p w:rsidR="006A602D" w:rsidRDefault="006A602D" w:rsidP="006A602D">
      <w:pPr>
        <w:jc w:val="both"/>
        <w:rPr>
          <w:rFonts w:ascii="Arial" w:hAnsi="Arial" w:cs="Arial"/>
          <w:sz w:val="22"/>
          <w:szCs w:val="22"/>
          <w:lang w:val="fr-FR"/>
        </w:rPr>
      </w:pPr>
      <w:r>
        <w:rPr>
          <w:rFonts w:ascii="Arial" w:hAnsi="Arial" w:cs="Arial"/>
          <w:sz w:val="22"/>
          <w:szCs w:val="22"/>
          <w:lang w:val="fr-FR"/>
        </w:rPr>
        <w:tab/>
      </w:r>
    </w:p>
    <w:p w:rsidR="006A602D" w:rsidRPr="00E509EF" w:rsidRDefault="009A0C84" w:rsidP="006A602D">
      <w:pPr>
        <w:jc w:val="both"/>
        <w:rPr>
          <w:rFonts w:ascii="Arial" w:hAnsi="Arial" w:cs="Arial"/>
          <w:color w:val="FF0000"/>
          <w:sz w:val="22"/>
          <w:szCs w:val="22"/>
          <w:lang w:val="fr-LU"/>
        </w:rPr>
      </w:pPr>
      <w:r w:rsidRPr="006A602D">
        <w:rPr>
          <w:rFonts w:ascii="Arial" w:hAnsi="Arial" w:cs="Arial"/>
          <w:sz w:val="22"/>
          <w:szCs w:val="22"/>
          <w:lang w:val="fr-FR"/>
        </w:rPr>
        <w:t>Les piliers 7 à 10 ont</w:t>
      </w:r>
      <w:r w:rsidR="00C856C6">
        <w:rPr>
          <w:rFonts w:ascii="Arial" w:hAnsi="Arial" w:cs="Arial"/>
          <w:sz w:val="22"/>
          <w:szCs w:val="22"/>
          <w:lang w:val="fr-FR"/>
        </w:rPr>
        <w:t>,</w:t>
      </w:r>
      <w:r w:rsidRPr="006A602D">
        <w:rPr>
          <w:rFonts w:ascii="Arial" w:hAnsi="Arial" w:cs="Arial"/>
          <w:sz w:val="22"/>
          <w:szCs w:val="22"/>
          <w:lang w:val="fr-FR"/>
        </w:rPr>
        <w:t xml:space="preserve"> par ailleurs</w:t>
      </w:r>
      <w:r w:rsidR="00C856C6">
        <w:rPr>
          <w:rFonts w:ascii="Arial" w:hAnsi="Arial" w:cs="Arial"/>
          <w:sz w:val="22"/>
          <w:szCs w:val="22"/>
          <w:lang w:val="fr-FR"/>
        </w:rPr>
        <w:t>,</w:t>
      </w:r>
      <w:r w:rsidRPr="006A602D">
        <w:rPr>
          <w:rFonts w:ascii="Arial" w:hAnsi="Arial" w:cs="Arial"/>
          <w:sz w:val="22"/>
          <w:szCs w:val="22"/>
          <w:lang w:val="fr-FR"/>
        </w:rPr>
        <w:t xml:space="preserve"> tous connu une détérioration du classement national : le marché du travail </w:t>
      </w:r>
      <w:r w:rsidR="00BE5C29" w:rsidRPr="006A602D">
        <w:rPr>
          <w:rFonts w:ascii="Arial" w:hAnsi="Arial" w:cs="Arial"/>
          <w:sz w:val="22"/>
          <w:szCs w:val="22"/>
          <w:lang w:val="fr-FR"/>
        </w:rPr>
        <w:t>apparaît clairement comme le principal chantier à conduire</w:t>
      </w:r>
      <w:r w:rsidR="00C44591" w:rsidRPr="006A602D">
        <w:rPr>
          <w:rFonts w:ascii="Arial" w:hAnsi="Arial" w:cs="Arial"/>
          <w:sz w:val="22"/>
          <w:szCs w:val="22"/>
          <w:lang w:val="fr-FR"/>
        </w:rPr>
        <w:t xml:space="preserve"> en vue d’améliorer la compétitivité, particulièrement au regard de la dégradation de la position co</w:t>
      </w:r>
      <w:r w:rsidR="000B7B2E" w:rsidRPr="006A602D">
        <w:rPr>
          <w:rFonts w:ascii="Arial" w:hAnsi="Arial" w:cs="Arial"/>
          <w:sz w:val="22"/>
          <w:szCs w:val="22"/>
          <w:lang w:val="fr-FR"/>
        </w:rPr>
        <w:t>mpétitive</w:t>
      </w:r>
      <w:r w:rsidR="00C44591" w:rsidRPr="006A602D">
        <w:rPr>
          <w:rFonts w:ascii="Arial" w:hAnsi="Arial" w:cs="Arial"/>
          <w:sz w:val="22"/>
          <w:szCs w:val="22"/>
          <w:lang w:val="fr-FR"/>
        </w:rPr>
        <w:t xml:space="preserve"> luxembourgeoise, de la 37</w:t>
      </w:r>
      <w:r w:rsidR="00C44591" w:rsidRPr="006A602D">
        <w:rPr>
          <w:rFonts w:ascii="Arial" w:hAnsi="Arial" w:cs="Arial"/>
          <w:sz w:val="22"/>
          <w:szCs w:val="22"/>
          <w:vertAlign w:val="superscript"/>
          <w:lang w:val="fr-FR"/>
        </w:rPr>
        <w:t>e</w:t>
      </w:r>
      <w:r w:rsidR="00C44591" w:rsidRPr="006A602D">
        <w:rPr>
          <w:rFonts w:ascii="Arial" w:hAnsi="Arial" w:cs="Arial"/>
          <w:sz w:val="22"/>
          <w:szCs w:val="22"/>
          <w:lang w:val="fr-FR"/>
        </w:rPr>
        <w:t xml:space="preserve"> à la 41</w:t>
      </w:r>
      <w:r w:rsidR="00C44591" w:rsidRPr="006A602D">
        <w:rPr>
          <w:rFonts w:ascii="Arial" w:hAnsi="Arial" w:cs="Arial"/>
          <w:sz w:val="22"/>
          <w:szCs w:val="22"/>
          <w:vertAlign w:val="superscript"/>
          <w:lang w:val="fr-FR"/>
        </w:rPr>
        <w:t>e</w:t>
      </w:r>
      <w:r w:rsidR="00C44591" w:rsidRPr="006A602D">
        <w:rPr>
          <w:rFonts w:ascii="Arial" w:hAnsi="Arial" w:cs="Arial"/>
          <w:sz w:val="22"/>
          <w:szCs w:val="22"/>
          <w:lang w:val="fr-FR"/>
        </w:rPr>
        <w:t xml:space="preserve"> place du </w:t>
      </w:r>
      <w:r w:rsidR="00C856C6">
        <w:rPr>
          <w:rFonts w:ascii="Arial" w:hAnsi="Arial" w:cs="Arial"/>
          <w:sz w:val="22"/>
          <w:szCs w:val="22"/>
          <w:lang w:val="fr-FR"/>
        </w:rPr>
        <w:t>classement</w:t>
      </w:r>
      <w:r w:rsidR="00C44591" w:rsidRPr="006A602D">
        <w:rPr>
          <w:rFonts w:ascii="Arial" w:hAnsi="Arial" w:cs="Arial"/>
          <w:sz w:val="22"/>
          <w:szCs w:val="22"/>
          <w:lang w:val="fr-FR"/>
        </w:rPr>
        <w:t xml:space="preserve"> afférent.</w:t>
      </w:r>
      <w:r w:rsidR="00CB51C8" w:rsidRPr="006A602D">
        <w:rPr>
          <w:rFonts w:ascii="Arial" w:hAnsi="Arial" w:cs="Arial"/>
          <w:sz w:val="22"/>
          <w:szCs w:val="22"/>
          <w:lang w:val="fr-FR"/>
        </w:rPr>
        <w:t xml:space="preserve"> </w:t>
      </w:r>
      <w:r w:rsidR="006A602D" w:rsidRPr="006A602D">
        <w:rPr>
          <w:rFonts w:ascii="Arial" w:hAnsi="Arial" w:cs="Arial"/>
          <w:sz w:val="22"/>
          <w:szCs w:val="22"/>
          <w:lang w:val="fr-FR"/>
        </w:rPr>
        <w:t>C’est vraisemblablement en ce qui concerne l’efficience et le fonctionnement du marché du travail que les marges de progression sont les plus importantes et les plus souhaitables. Trop de critères se sont en effet fortement dégradés et positionnent le Luxembourg en queue de peloton mondial (131</w:t>
      </w:r>
      <w:r w:rsidR="006A602D" w:rsidRPr="006A602D">
        <w:rPr>
          <w:rFonts w:ascii="Arial" w:hAnsi="Arial" w:cs="Arial"/>
          <w:sz w:val="22"/>
          <w:szCs w:val="22"/>
          <w:vertAlign w:val="superscript"/>
          <w:lang w:val="fr-FR"/>
        </w:rPr>
        <w:t>e</w:t>
      </w:r>
      <w:r w:rsidR="006A602D" w:rsidRPr="006A602D">
        <w:rPr>
          <w:rFonts w:ascii="Arial" w:hAnsi="Arial" w:cs="Arial"/>
          <w:sz w:val="22"/>
          <w:szCs w:val="22"/>
          <w:lang w:val="fr-FR"/>
        </w:rPr>
        <w:t xml:space="preserve"> place au vu de l’indicateur</w:t>
      </w:r>
      <w:r w:rsidR="006A602D" w:rsidRPr="00E509EF">
        <w:rPr>
          <w:rFonts w:ascii="Arial" w:hAnsi="Arial" w:cs="Arial"/>
          <w:sz w:val="22"/>
          <w:szCs w:val="22"/>
          <w:lang w:val="fr-LU"/>
        </w:rPr>
        <w:t xml:space="preserve"> « </w:t>
      </w:r>
      <w:proofErr w:type="spellStart"/>
      <w:r w:rsidR="006A602D" w:rsidRPr="00E509EF">
        <w:rPr>
          <w:rFonts w:ascii="Arial" w:hAnsi="Arial" w:cs="Arial"/>
          <w:sz w:val="22"/>
          <w:szCs w:val="22"/>
          <w:lang w:val="fr-LU"/>
        </w:rPr>
        <w:t>rigidity</w:t>
      </w:r>
      <w:proofErr w:type="spellEnd"/>
      <w:r w:rsidR="006A602D" w:rsidRPr="00E509EF">
        <w:rPr>
          <w:rFonts w:ascii="Arial" w:hAnsi="Arial" w:cs="Arial"/>
          <w:sz w:val="22"/>
          <w:szCs w:val="22"/>
          <w:lang w:val="fr-LU"/>
        </w:rPr>
        <w:t xml:space="preserve"> of </w:t>
      </w:r>
      <w:proofErr w:type="spellStart"/>
      <w:r w:rsidR="006A602D" w:rsidRPr="00E509EF">
        <w:rPr>
          <w:rFonts w:ascii="Arial" w:hAnsi="Arial" w:cs="Arial"/>
          <w:sz w:val="22"/>
          <w:szCs w:val="22"/>
          <w:lang w:val="fr-LU"/>
        </w:rPr>
        <w:t>employment</w:t>
      </w:r>
      <w:proofErr w:type="spellEnd"/>
      <w:r w:rsidR="006A602D" w:rsidRPr="00E509EF">
        <w:rPr>
          <w:rFonts w:ascii="Arial" w:hAnsi="Arial" w:cs="Arial"/>
          <w:sz w:val="22"/>
          <w:szCs w:val="22"/>
          <w:lang w:val="fr-LU"/>
        </w:rPr>
        <w:t> », 51</w:t>
      </w:r>
      <w:r w:rsidR="006A602D" w:rsidRPr="00E509EF">
        <w:rPr>
          <w:rFonts w:ascii="Arial" w:hAnsi="Arial" w:cs="Arial"/>
          <w:sz w:val="22"/>
          <w:szCs w:val="22"/>
          <w:vertAlign w:val="superscript"/>
          <w:lang w:val="fr-LU"/>
        </w:rPr>
        <w:t>e</w:t>
      </w:r>
      <w:r w:rsidR="006A602D" w:rsidRPr="00E509EF">
        <w:rPr>
          <w:rFonts w:ascii="Arial" w:hAnsi="Arial" w:cs="Arial"/>
          <w:sz w:val="22"/>
          <w:szCs w:val="22"/>
          <w:lang w:val="fr-LU"/>
        </w:rPr>
        <w:t xml:space="preserve"> position pour ce qui est de l’indicateur, « </w:t>
      </w:r>
      <w:proofErr w:type="spellStart"/>
      <w:r w:rsidR="006A602D" w:rsidRPr="00E509EF">
        <w:rPr>
          <w:rFonts w:ascii="Arial" w:hAnsi="Arial" w:cs="Arial"/>
          <w:sz w:val="22"/>
          <w:szCs w:val="22"/>
          <w:lang w:val="fr-LU"/>
        </w:rPr>
        <w:t>pay</w:t>
      </w:r>
      <w:proofErr w:type="spellEnd"/>
      <w:r w:rsidR="006A602D" w:rsidRPr="00E509EF">
        <w:rPr>
          <w:rFonts w:ascii="Arial" w:hAnsi="Arial" w:cs="Arial"/>
          <w:sz w:val="22"/>
          <w:szCs w:val="22"/>
          <w:lang w:val="fr-LU"/>
        </w:rPr>
        <w:t xml:space="preserve"> and </w:t>
      </w:r>
      <w:proofErr w:type="spellStart"/>
      <w:r w:rsidR="006A602D" w:rsidRPr="00E509EF">
        <w:rPr>
          <w:rFonts w:ascii="Arial" w:hAnsi="Arial" w:cs="Arial"/>
          <w:sz w:val="22"/>
          <w:szCs w:val="22"/>
          <w:lang w:val="fr-LU"/>
        </w:rPr>
        <w:t>productivity</w:t>
      </w:r>
      <w:proofErr w:type="spellEnd"/>
      <w:r w:rsidR="006A602D" w:rsidRPr="00E509EF">
        <w:rPr>
          <w:rFonts w:ascii="Arial" w:hAnsi="Arial" w:cs="Arial"/>
          <w:sz w:val="22"/>
          <w:szCs w:val="22"/>
          <w:lang w:val="fr-LU"/>
        </w:rPr>
        <w:t> »</w:t>
      </w:r>
      <w:r w:rsidR="005450E0">
        <w:rPr>
          <w:rFonts w:ascii="Arial" w:hAnsi="Arial" w:cs="Arial"/>
          <w:sz w:val="22"/>
          <w:szCs w:val="22"/>
          <w:lang w:val="fr-LU"/>
        </w:rPr>
        <w:t>)</w:t>
      </w:r>
      <w:r w:rsidR="006A602D" w:rsidRPr="00E509EF">
        <w:rPr>
          <w:rFonts w:ascii="Arial" w:hAnsi="Arial" w:cs="Arial"/>
          <w:sz w:val="22"/>
          <w:szCs w:val="22"/>
          <w:lang w:val="fr-LU"/>
        </w:rPr>
        <w:t>. La prise en compte de ces deux critères prend une signification particulière à l’approche des réunions tripartites prévues au niveau national, eu égard principalement à la problématique de l’indexation des salaires et dans le contexte de forte dégradation de la compétitivité ainsi caractérisé.</w:t>
      </w:r>
      <w:r w:rsidR="00E509EF" w:rsidRPr="00E509EF">
        <w:rPr>
          <w:rFonts w:ascii="Arial" w:hAnsi="Arial" w:cs="Arial"/>
          <w:sz w:val="22"/>
          <w:szCs w:val="22"/>
          <w:lang w:val="fr-LU"/>
        </w:rPr>
        <w:t xml:space="preserve"> </w:t>
      </w:r>
      <w:r w:rsidR="00E509EF">
        <w:rPr>
          <w:rFonts w:ascii="Arial" w:hAnsi="Arial" w:cs="Arial"/>
          <w:sz w:val="22"/>
          <w:szCs w:val="22"/>
          <w:lang w:val="fr-LU"/>
        </w:rPr>
        <w:t>L’occasion pour la Chambre de Commerce de plaider pour une refonte du système en la matière.</w:t>
      </w:r>
    </w:p>
    <w:p w:rsidR="006F7297" w:rsidRDefault="006F7297" w:rsidP="00AD720E">
      <w:pPr>
        <w:jc w:val="both"/>
        <w:rPr>
          <w:rFonts w:ascii="Arial" w:hAnsi="Arial" w:cs="Arial"/>
          <w:sz w:val="22"/>
          <w:szCs w:val="22"/>
          <w:lang w:val="fr-FR"/>
        </w:rPr>
      </w:pPr>
    </w:p>
    <w:p w:rsidR="00585D5E" w:rsidRDefault="00130A3A" w:rsidP="002F4EC9">
      <w:pPr>
        <w:rPr>
          <w:rFonts w:ascii="Arial" w:hAnsi="Arial" w:cs="Arial"/>
          <w:b/>
          <w:sz w:val="22"/>
          <w:szCs w:val="22"/>
          <w:u w:val="single"/>
          <w:lang w:val="fr-FR"/>
        </w:rPr>
      </w:pPr>
      <w:r w:rsidRPr="002D731F">
        <w:rPr>
          <w:rFonts w:ascii="Arial" w:hAnsi="Arial" w:cs="Arial"/>
          <w:b/>
          <w:sz w:val="22"/>
          <w:szCs w:val="22"/>
          <w:u w:val="single"/>
          <w:lang w:val="fr-FR"/>
        </w:rPr>
        <w:t>Graphique</w:t>
      </w:r>
      <w:r w:rsidR="0027472E">
        <w:rPr>
          <w:rFonts w:ascii="Arial" w:hAnsi="Arial" w:cs="Arial"/>
          <w:b/>
          <w:sz w:val="22"/>
          <w:szCs w:val="22"/>
          <w:u w:val="single"/>
          <w:lang w:val="fr-FR"/>
        </w:rPr>
        <w:t xml:space="preserve"> </w:t>
      </w:r>
      <w:r w:rsidRPr="002D731F">
        <w:rPr>
          <w:rFonts w:ascii="Arial" w:hAnsi="Arial" w:cs="Arial"/>
          <w:b/>
          <w:sz w:val="22"/>
          <w:szCs w:val="22"/>
          <w:u w:val="single"/>
          <w:lang w:val="fr-FR"/>
        </w:rPr>
        <w:t xml:space="preserve">3 : Evolution de </w:t>
      </w:r>
      <w:r w:rsidR="00476A4F">
        <w:rPr>
          <w:rFonts w:ascii="Arial" w:hAnsi="Arial" w:cs="Arial"/>
          <w:b/>
          <w:sz w:val="22"/>
          <w:szCs w:val="22"/>
          <w:u w:val="single"/>
          <w:lang w:val="fr-FR"/>
        </w:rPr>
        <w:t>la catégorie</w:t>
      </w:r>
      <w:r w:rsidRPr="002D731F">
        <w:rPr>
          <w:rFonts w:ascii="Arial" w:hAnsi="Arial" w:cs="Arial"/>
          <w:b/>
          <w:sz w:val="22"/>
          <w:szCs w:val="22"/>
          <w:u w:val="single"/>
          <w:lang w:val="fr-FR"/>
        </w:rPr>
        <w:t xml:space="preserve"> « Améliorateurs d’efficacité »</w:t>
      </w:r>
    </w:p>
    <w:p w:rsidR="008002C2" w:rsidRPr="002D731F" w:rsidRDefault="008002C2" w:rsidP="002F4EC9">
      <w:pPr>
        <w:rPr>
          <w:rFonts w:ascii="Arial" w:hAnsi="Arial" w:cs="Arial"/>
          <w:b/>
          <w:sz w:val="22"/>
          <w:szCs w:val="22"/>
          <w:u w:val="single"/>
          <w:lang w:val="fr-FR"/>
        </w:rPr>
      </w:pPr>
    </w:p>
    <w:p w:rsidR="00CB51C8" w:rsidRDefault="00EE4E0C" w:rsidP="00CB51C8">
      <w:pPr>
        <w:jc w:val="center"/>
        <w:rPr>
          <w:rFonts w:ascii="Arial" w:hAnsi="Arial" w:cs="Arial"/>
          <w:sz w:val="22"/>
          <w:szCs w:val="22"/>
          <w:lang w:val="fr-FR"/>
        </w:rPr>
      </w:pPr>
      <w:r w:rsidRPr="00EE4E0C">
        <w:rPr>
          <w:rFonts w:ascii="Arial" w:hAnsi="Arial" w:cs="Arial"/>
          <w:noProof/>
          <w:sz w:val="22"/>
          <w:szCs w:val="22"/>
        </w:rPr>
        <w:drawing>
          <wp:inline distT="0" distB="0" distL="0" distR="0">
            <wp:extent cx="5972810" cy="2889250"/>
            <wp:effectExtent l="57150" t="19050" r="46990" b="635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78C5" w:rsidRDefault="00EB78C5" w:rsidP="00AD720E">
      <w:pPr>
        <w:jc w:val="both"/>
        <w:rPr>
          <w:rFonts w:ascii="Arial" w:hAnsi="Arial" w:cs="Arial"/>
          <w:sz w:val="22"/>
          <w:szCs w:val="22"/>
          <w:lang w:val="fr-FR"/>
        </w:rPr>
      </w:pPr>
    </w:p>
    <w:p w:rsidR="00DF300F" w:rsidRDefault="008A54B2" w:rsidP="00AD720E">
      <w:pPr>
        <w:jc w:val="both"/>
        <w:rPr>
          <w:rFonts w:ascii="Arial" w:hAnsi="Arial" w:cs="Arial"/>
          <w:sz w:val="22"/>
          <w:szCs w:val="22"/>
          <w:lang w:val="fr-FR"/>
        </w:rPr>
      </w:pPr>
      <w:r>
        <w:rPr>
          <w:rFonts w:ascii="Arial" w:hAnsi="Arial" w:cs="Arial"/>
          <w:sz w:val="22"/>
          <w:szCs w:val="22"/>
          <w:lang w:val="fr-FR"/>
        </w:rPr>
        <w:t>L</w:t>
      </w:r>
      <w:r w:rsidR="008B67C8" w:rsidRPr="009F36E1">
        <w:rPr>
          <w:rFonts w:ascii="Arial" w:hAnsi="Arial" w:cs="Arial"/>
          <w:sz w:val="22"/>
          <w:szCs w:val="22"/>
          <w:lang w:val="fr-FR"/>
        </w:rPr>
        <w:t xml:space="preserve">e </w:t>
      </w:r>
      <w:r>
        <w:rPr>
          <w:rFonts w:ascii="Arial" w:hAnsi="Arial" w:cs="Arial"/>
          <w:sz w:val="22"/>
          <w:szCs w:val="22"/>
          <w:lang w:val="fr-FR"/>
        </w:rPr>
        <w:t xml:space="preserve">Luxembourg, </w:t>
      </w:r>
      <w:r w:rsidR="005450E0">
        <w:rPr>
          <w:rFonts w:ascii="Arial" w:hAnsi="Arial" w:cs="Arial"/>
          <w:sz w:val="22"/>
          <w:szCs w:val="22"/>
          <w:lang w:val="fr-FR"/>
        </w:rPr>
        <w:t>au regard de</w:t>
      </w:r>
      <w:r>
        <w:rPr>
          <w:rFonts w:ascii="Arial" w:hAnsi="Arial" w:cs="Arial"/>
          <w:sz w:val="22"/>
          <w:szCs w:val="22"/>
          <w:lang w:val="fr-FR"/>
        </w:rPr>
        <w:t xml:space="preserve"> sa taille de population, dispose a priori de</w:t>
      </w:r>
      <w:r w:rsidR="008B67C8" w:rsidRPr="009F36E1">
        <w:rPr>
          <w:rFonts w:ascii="Arial" w:hAnsi="Arial" w:cs="Arial"/>
          <w:sz w:val="22"/>
          <w:szCs w:val="22"/>
          <w:lang w:val="fr-FR"/>
        </w:rPr>
        <w:t xml:space="preserve"> peu de marge</w:t>
      </w:r>
      <w:r>
        <w:rPr>
          <w:rFonts w:ascii="Arial" w:hAnsi="Arial" w:cs="Arial"/>
          <w:sz w:val="22"/>
          <w:szCs w:val="22"/>
          <w:lang w:val="fr-FR"/>
        </w:rPr>
        <w:t>s</w:t>
      </w:r>
      <w:r w:rsidR="008B67C8" w:rsidRPr="009F36E1">
        <w:rPr>
          <w:rFonts w:ascii="Arial" w:hAnsi="Arial" w:cs="Arial"/>
          <w:sz w:val="22"/>
          <w:szCs w:val="22"/>
          <w:lang w:val="fr-FR"/>
        </w:rPr>
        <w:t xml:space="preserve"> de manœuvre pour faire évoluer </w:t>
      </w:r>
      <w:r>
        <w:rPr>
          <w:rFonts w:ascii="Arial" w:hAnsi="Arial" w:cs="Arial"/>
          <w:sz w:val="22"/>
          <w:szCs w:val="22"/>
          <w:lang w:val="fr-FR"/>
        </w:rPr>
        <w:t xml:space="preserve">favorablement </w:t>
      </w:r>
      <w:r w:rsidR="009F36E1" w:rsidRPr="009F36E1">
        <w:rPr>
          <w:rFonts w:ascii="Arial" w:hAnsi="Arial" w:cs="Arial"/>
          <w:sz w:val="22"/>
          <w:szCs w:val="22"/>
          <w:lang w:val="fr-FR"/>
        </w:rPr>
        <w:t>l’</w:t>
      </w:r>
      <w:r w:rsidR="00866801" w:rsidRPr="009F36E1">
        <w:rPr>
          <w:rFonts w:ascii="Arial" w:hAnsi="Arial" w:cs="Arial"/>
          <w:sz w:val="22"/>
          <w:szCs w:val="22"/>
          <w:lang w:val="fr-FR"/>
        </w:rPr>
        <w:t>indicateur</w:t>
      </w:r>
      <w:r w:rsidR="009F36E1" w:rsidRPr="009F36E1">
        <w:rPr>
          <w:rFonts w:ascii="Arial" w:hAnsi="Arial" w:cs="Arial"/>
          <w:sz w:val="22"/>
          <w:szCs w:val="22"/>
          <w:lang w:val="fr-FR"/>
        </w:rPr>
        <w:t xml:space="preserve"> de </w:t>
      </w:r>
      <w:r w:rsidR="00585D5E">
        <w:rPr>
          <w:rFonts w:ascii="Arial" w:hAnsi="Arial" w:cs="Arial"/>
          <w:sz w:val="22"/>
          <w:szCs w:val="22"/>
          <w:lang w:val="fr-FR"/>
        </w:rPr>
        <w:t xml:space="preserve">la </w:t>
      </w:r>
      <w:r w:rsidR="009F36E1" w:rsidRPr="00585D5E">
        <w:rPr>
          <w:rFonts w:ascii="Arial" w:hAnsi="Arial" w:cs="Arial"/>
          <w:i/>
          <w:sz w:val="22"/>
          <w:szCs w:val="22"/>
          <w:lang w:val="fr-FR"/>
        </w:rPr>
        <w:t>taille de marché</w:t>
      </w:r>
      <w:r>
        <w:rPr>
          <w:rFonts w:ascii="Arial" w:hAnsi="Arial" w:cs="Arial"/>
          <w:sz w:val="22"/>
          <w:szCs w:val="22"/>
          <w:lang w:val="fr-FR"/>
        </w:rPr>
        <w:t xml:space="preserve">. Cependant, l’existence d’un marché de la Grande Région et du marché européen doit pouvoir lui permettre d’exploiter à plein les dynamiques d’économies d’échelle et de compenser la faiblesse de son marché domestique par la vitalité d’un marché allant au-delà de ses frontières et du marché extérieur plus généralement. </w:t>
      </w:r>
    </w:p>
    <w:p w:rsidR="002328D8" w:rsidRDefault="002328D8" w:rsidP="00AD720E">
      <w:pPr>
        <w:jc w:val="both"/>
        <w:rPr>
          <w:rFonts w:ascii="Arial" w:hAnsi="Arial" w:cs="Arial"/>
          <w:sz w:val="22"/>
          <w:szCs w:val="22"/>
          <w:lang w:val="fr-FR"/>
        </w:rPr>
      </w:pPr>
    </w:p>
    <w:p w:rsidR="00CA1D11" w:rsidRDefault="000B7B2E" w:rsidP="00AD720E">
      <w:pPr>
        <w:jc w:val="both"/>
        <w:rPr>
          <w:rFonts w:ascii="Arial" w:hAnsi="Arial" w:cs="Arial"/>
          <w:sz w:val="22"/>
          <w:szCs w:val="22"/>
          <w:lang w:val="fr-FR"/>
        </w:rPr>
      </w:pPr>
      <w:r>
        <w:rPr>
          <w:rFonts w:ascii="Arial" w:hAnsi="Arial" w:cs="Arial"/>
          <w:sz w:val="22"/>
          <w:szCs w:val="22"/>
          <w:lang w:val="fr-FR"/>
        </w:rPr>
        <w:t xml:space="preserve">S’agissant de la capacité du pays à </w:t>
      </w:r>
      <w:r w:rsidR="002328D8">
        <w:rPr>
          <w:rFonts w:ascii="Arial" w:hAnsi="Arial" w:cs="Arial"/>
          <w:sz w:val="22"/>
          <w:szCs w:val="22"/>
          <w:lang w:val="fr-FR"/>
        </w:rPr>
        <w:t>exploit</w:t>
      </w:r>
      <w:r>
        <w:rPr>
          <w:rFonts w:ascii="Arial" w:hAnsi="Arial" w:cs="Arial"/>
          <w:sz w:val="22"/>
          <w:szCs w:val="22"/>
          <w:lang w:val="fr-FR"/>
        </w:rPr>
        <w:t>er l</w:t>
      </w:r>
      <w:r w:rsidR="002328D8">
        <w:rPr>
          <w:rFonts w:ascii="Arial" w:hAnsi="Arial" w:cs="Arial"/>
          <w:sz w:val="22"/>
          <w:szCs w:val="22"/>
          <w:lang w:val="fr-FR"/>
        </w:rPr>
        <w:t>es nouvelles technologies, le Luxembourg con</w:t>
      </w:r>
      <w:r>
        <w:rPr>
          <w:rFonts w:ascii="Arial" w:hAnsi="Arial" w:cs="Arial"/>
          <w:sz w:val="22"/>
          <w:szCs w:val="22"/>
          <w:lang w:val="fr-FR"/>
        </w:rPr>
        <w:t>nait un recul très net de son rang international, de la 2</w:t>
      </w:r>
      <w:r w:rsidRPr="000B7B2E">
        <w:rPr>
          <w:rFonts w:ascii="Arial" w:hAnsi="Arial" w:cs="Arial"/>
          <w:sz w:val="22"/>
          <w:szCs w:val="22"/>
          <w:vertAlign w:val="superscript"/>
          <w:lang w:val="fr-FR"/>
        </w:rPr>
        <w:t>e</w:t>
      </w:r>
      <w:r>
        <w:rPr>
          <w:rFonts w:ascii="Arial" w:hAnsi="Arial" w:cs="Arial"/>
          <w:sz w:val="22"/>
          <w:szCs w:val="22"/>
          <w:lang w:val="fr-FR"/>
        </w:rPr>
        <w:t xml:space="preserve"> à la 9</w:t>
      </w:r>
      <w:r w:rsidRPr="000B7B2E">
        <w:rPr>
          <w:rFonts w:ascii="Arial" w:hAnsi="Arial" w:cs="Arial"/>
          <w:sz w:val="22"/>
          <w:szCs w:val="22"/>
          <w:vertAlign w:val="superscript"/>
          <w:lang w:val="fr-FR"/>
        </w:rPr>
        <w:t>e</w:t>
      </w:r>
      <w:r>
        <w:rPr>
          <w:rFonts w:ascii="Arial" w:hAnsi="Arial" w:cs="Arial"/>
          <w:sz w:val="22"/>
          <w:szCs w:val="22"/>
          <w:lang w:val="fr-FR"/>
        </w:rPr>
        <w:t xml:space="preserve"> place. Demeurer dans le top 10 est certes flatteur, mais cette dégradation, assortie d’une diminution du score y relatif, en dit long sur la capacité de</w:t>
      </w:r>
      <w:r w:rsidR="00E266C2">
        <w:rPr>
          <w:rFonts w:ascii="Arial" w:hAnsi="Arial" w:cs="Arial"/>
          <w:sz w:val="22"/>
          <w:szCs w:val="22"/>
          <w:lang w:val="fr-FR"/>
        </w:rPr>
        <w:t xml:space="preserve"> plusieurs</w:t>
      </w:r>
      <w:r>
        <w:rPr>
          <w:rFonts w:ascii="Arial" w:hAnsi="Arial" w:cs="Arial"/>
          <w:sz w:val="22"/>
          <w:szCs w:val="22"/>
          <w:lang w:val="fr-FR"/>
        </w:rPr>
        <w:t xml:space="preserve"> concurren</w:t>
      </w:r>
      <w:r w:rsidR="00E266C2">
        <w:rPr>
          <w:rFonts w:ascii="Arial" w:hAnsi="Arial" w:cs="Arial"/>
          <w:sz w:val="22"/>
          <w:szCs w:val="22"/>
          <w:lang w:val="fr-FR"/>
        </w:rPr>
        <w:t>ts</w:t>
      </w:r>
      <w:r>
        <w:rPr>
          <w:rFonts w:ascii="Arial" w:hAnsi="Arial" w:cs="Arial"/>
          <w:sz w:val="22"/>
          <w:szCs w:val="22"/>
          <w:lang w:val="fr-FR"/>
        </w:rPr>
        <w:t xml:space="preserve"> du Luxembourg à remettre en cause l’ordre mondial. Cette observation vaut surtout pour des pays comme le Danemark, Hong Kong, l’Islande, les Pays-Bas ou la Norvège. Dans le cadre des nouveaux modèles de croissance (endogène, qualitative, intelligente, durable), la capacité des pays à améliorer leur position compétitive dépendra crucialement de capacités et savoir-faire technologiques. De ce point de vue, le Grand-Duché doit poursuivre ses efforts en matière de développement des TIC, de la fibre optique et des centres de données, pour ne citer que ces exemples. </w:t>
      </w:r>
    </w:p>
    <w:p w:rsidR="002328D8" w:rsidRDefault="002328D8" w:rsidP="00AD720E">
      <w:pPr>
        <w:jc w:val="both"/>
        <w:rPr>
          <w:rFonts w:ascii="Arial" w:hAnsi="Arial" w:cs="Arial"/>
          <w:sz w:val="22"/>
          <w:szCs w:val="22"/>
          <w:lang w:val="fr-FR"/>
        </w:rPr>
      </w:pPr>
    </w:p>
    <w:p w:rsidR="00FD0CF7" w:rsidRDefault="000B7B2E" w:rsidP="00272D3F">
      <w:pPr>
        <w:jc w:val="both"/>
        <w:rPr>
          <w:rFonts w:ascii="Arial" w:hAnsi="Arial" w:cs="Arial"/>
          <w:sz w:val="22"/>
          <w:szCs w:val="22"/>
          <w:lang w:val="fr-FR"/>
        </w:rPr>
      </w:pPr>
      <w:r>
        <w:rPr>
          <w:rFonts w:ascii="Arial" w:hAnsi="Arial" w:cs="Arial"/>
          <w:sz w:val="22"/>
          <w:szCs w:val="22"/>
          <w:lang w:val="fr-FR"/>
        </w:rPr>
        <w:t>Concernant l</w:t>
      </w:r>
      <w:r w:rsidR="00F84F6A">
        <w:rPr>
          <w:rFonts w:ascii="Arial" w:hAnsi="Arial" w:cs="Arial"/>
          <w:sz w:val="22"/>
          <w:szCs w:val="22"/>
          <w:lang w:val="fr-FR"/>
        </w:rPr>
        <w:t xml:space="preserve">a </w:t>
      </w:r>
      <w:r w:rsidR="002E7BC9" w:rsidRPr="00F84F6A">
        <w:rPr>
          <w:rFonts w:ascii="Arial" w:hAnsi="Arial" w:cs="Arial"/>
          <w:b/>
          <w:sz w:val="22"/>
          <w:szCs w:val="22"/>
          <w:u w:val="single"/>
          <w:lang w:val="fr-FR"/>
        </w:rPr>
        <w:t>troisième catégorie</w:t>
      </w:r>
      <w:r w:rsidR="002E7BC9">
        <w:rPr>
          <w:rFonts w:ascii="Arial" w:hAnsi="Arial" w:cs="Arial"/>
          <w:sz w:val="22"/>
          <w:szCs w:val="22"/>
          <w:lang w:val="fr-FR"/>
        </w:rPr>
        <w:t xml:space="preserve"> de déterminants de la compétitivité, </w:t>
      </w:r>
      <w:r>
        <w:rPr>
          <w:rFonts w:ascii="Arial" w:hAnsi="Arial" w:cs="Arial"/>
          <w:sz w:val="22"/>
          <w:szCs w:val="22"/>
          <w:lang w:val="fr-FR"/>
        </w:rPr>
        <w:t>portée vers</w:t>
      </w:r>
      <w:r w:rsidR="002E7BC9">
        <w:rPr>
          <w:rFonts w:ascii="Arial" w:hAnsi="Arial" w:cs="Arial"/>
          <w:sz w:val="22"/>
          <w:szCs w:val="22"/>
          <w:lang w:val="fr-FR"/>
        </w:rPr>
        <w:t xml:space="preserve"> </w:t>
      </w:r>
      <w:r w:rsidR="002E7BC9" w:rsidRPr="002E7BC9">
        <w:rPr>
          <w:rFonts w:ascii="Arial" w:hAnsi="Arial" w:cs="Arial"/>
          <w:b/>
          <w:sz w:val="22"/>
          <w:szCs w:val="22"/>
          <w:u w:val="single"/>
          <w:lang w:val="fr-FR"/>
        </w:rPr>
        <w:t>l’</w:t>
      </w:r>
      <w:r w:rsidR="00D53C18" w:rsidRPr="002E7BC9">
        <w:rPr>
          <w:rFonts w:ascii="Arial" w:hAnsi="Arial" w:cs="Arial"/>
          <w:b/>
          <w:sz w:val="22"/>
          <w:szCs w:val="22"/>
          <w:u w:val="single"/>
          <w:lang w:val="fr-FR"/>
        </w:rPr>
        <w:t>innovation</w:t>
      </w:r>
      <w:r w:rsidR="002E7BC9" w:rsidRPr="002E7BC9">
        <w:rPr>
          <w:rFonts w:ascii="Arial" w:hAnsi="Arial" w:cs="Arial"/>
          <w:b/>
          <w:sz w:val="22"/>
          <w:szCs w:val="22"/>
          <w:u w:val="single"/>
          <w:lang w:val="fr-FR"/>
        </w:rPr>
        <w:t xml:space="preserve"> </w:t>
      </w:r>
      <w:r w:rsidR="002E7BC9" w:rsidRPr="00F84F6A">
        <w:rPr>
          <w:rFonts w:ascii="Arial" w:hAnsi="Arial" w:cs="Arial"/>
          <w:b/>
          <w:i/>
          <w:sz w:val="22"/>
          <w:szCs w:val="22"/>
          <w:u w:val="single"/>
          <w:lang w:val="fr-FR"/>
        </w:rPr>
        <w:t>et les facteurs dits de sophistication</w:t>
      </w:r>
      <w:r w:rsidR="00D53C18" w:rsidRPr="00C30C99">
        <w:rPr>
          <w:rFonts w:ascii="Arial" w:hAnsi="Arial" w:cs="Arial"/>
          <w:sz w:val="22"/>
          <w:szCs w:val="22"/>
          <w:lang w:val="fr-FR"/>
        </w:rPr>
        <w:t xml:space="preserve"> (</w:t>
      </w:r>
      <w:r w:rsidR="002E7BC9">
        <w:rPr>
          <w:rFonts w:ascii="Arial" w:hAnsi="Arial" w:cs="Arial"/>
          <w:sz w:val="22"/>
          <w:szCs w:val="22"/>
          <w:lang w:val="fr-FR"/>
        </w:rPr>
        <w:t>« </w:t>
      </w:r>
      <w:r w:rsidR="00D53C18" w:rsidRPr="002E7BC9">
        <w:rPr>
          <w:rFonts w:ascii="Arial" w:hAnsi="Arial" w:cs="Arial"/>
          <w:i/>
          <w:sz w:val="22"/>
          <w:szCs w:val="22"/>
          <w:lang w:val="fr-FR"/>
        </w:rPr>
        <w:t>Innovation</w:t>
      </w:r>
      <w:r w:rsidR="002F79C5" w:rsidRPr="002E7BC9">
        <w:rPr>
          <w:rFonts w:ascii="Arial" w:hAnsi="Arial" w:cs="Arial"/>
          <w:i/>
          <w:sz w:val="22"/>
          <w:szCs w:val="22"/>
          <w:lang w:val="fr-FR"/>
        </w:rPr>
        <w:t xml:space="preserve"> and sophistication</w:t>
      </w:r>
      <w:r w:rsidR="00D53C18" w:rsidRPr="002E7BC9">
        <w:rPr>
          <w:rFonts w:ascii="Arial" w:hAnsi="Arial" w:cs="Arial"/>
          <w:i/>
          <w:sz w:val="22"/>
          <w:szCs w:val="22"/>
          <w:lang w:val="fr-FR"/>
        </w:rPr>
        <w:t xml:space="preserve"> </w:t>
      </w:r>
      <w:proofErr w:type="spellStart"/>
      <w:r w:rsidR="00D53C18" w:rsidRPr="002E7BC9">
        <w:rPr>
          <w:rFonts w:ascii="Arial" w:hAnsi="Arial" w:cs="Arial"/>
          <w:i/>
          <w:sz w:val="22"/>
          <w:szCs w:val="22"/>
          <w:lang w:val="fr-FR"/>
        </w:rPr>
        <w:t>factors</w:t>
      </w:r>
      <w:proofErr w:type="spellEnd"/>
      <w:r w:rsidR="002E7BC9">
        <w:rPr>
          <w:rFonts w:ascii="Arial" w:hAnsi="Arial" w:cs="Arial"/>
          <w:i/>
          <w:sz w:val="22"/>
          <w:szCs w:val="22"/>
          <w:lang w:val="fr-FR"/>
        </w:rPr>
        <w:t> »</w:t>
      </w:r>
      <w:r w:rsidR="00D53C18" w:rsidRPr="00C30C99">
        <w:rPr>
          <w:rFonts w:ascii="Arial" w:hAnsi="Arial" w:cs="Arial"/>
          <w:sz w:val="22"/>
          <w:szCs w:val="22"/>
          <w:lang w:val="fr-FR"/>
        </w:rPr>
        <w:t>)</w:t>
      </w:r>
      <w:r w:rsidR="002328D8">
        <w:rPr>
          <w:rFonts w:ascii="Arial" w:hAnsi="Arial" w:cs="Arial"/>
          <w:sz w:val="22"/>
          <w:szCs w:val="22"/>
          <w:lang w:val="fr-FR"/>
        </w:rPr>
        <w:t xml:space="preserve">, le </w:t>
      </w:r>
      <w:r>
        <w:rPr>
          <w:rFonts w:ascii="Arial" w:hAnsi="Arial" w:cs="Arial"/>
          <w:sz w:val="22"/>
          <w:szCs w:val="22"/>
          <w:lang w:val="fr-FR"/>
        </w:rPr>
        <w:t xml:space="preserve">Luxembourg </w:t>
      </w:r>
      <w:r w:rsidR="00AE248E">
        <w:rPr>
          <w:rFonts w:ascii="Arial" w:hAnsi="Arial" w:cs="Arial"/>
          <w:sz w:val="22"/>
          <w:szCs w:val="22"/>
          <w:lang w:val="fr-FR"/>
        </w:rPr>
        <w:t>perd une</w:t>
      </w:r>
      <w:r>
        <w:rPr>
          <w:rFonts w:ascii="Arial" w:hAnsi="Arial" w:cs="Arial"/>
          <w:sz w:val="22"/>
          <w:szCs w:val="22"/>
          <w:lang w:val="fr-FR"/>
        </w:rPr>
        <w:t xml:space="preserve"> place sur l’échiquier international de l’innovation</w:t>
      </w:r>
      <w:r w:rsidR="00AE248E">
        <w:rPr>
          <w:rFonts w:ascii="Arial" w:hAnsi="Arial" w:cs="Arial"/>
          <w:sz w:val="22"/>
          <w:szCs w:val="22"/>
          <w:lang w:val="fr-FR"/>
        </w:rPr>
        <w:t xml:space="preserve"> (du 19</w:t>
      </w:r>
      <w:r w:rsidR="00AE248E" w:rsidRPr="00AE248E">
        <w:rPr>
          <w:rFonts w:ascii="Arial" w:hAnsi="Arial" w:cs="Arial"/>
          <w:sz w:val="22"/>
          <w:szCs w:val="22"/>
          <w:vertAlign w:val="superscript"/>
          <w:lang w:val="fr-FR"/>
        </w:rPr>
        <w:t>e</w:t>
      </w:r>
      <w:r w:rsidR="00AE248E">
        <w:rPr>
          <w:rFonts w:ascii="Arial" w:hAnsi="Arial" w:cs="Arial"/>
          <w:sz w:val="22"/>
          <w:szCs w:val="22"/>
          <w:lang w:val="fr-FR"/>
        </w:rPr>
        <w:t xml:space="preserve"> au 20</w:t>
      </w:r>
      <w:r w:rsidR="00AE248E" w:rsidRPr="00AE248E">
        <w:rPr>
          <w:rFonts w:ascii="Arial" w:hAnsi="Arial" w:cs="Arial"/>
          <w:sz w:val="22"/>
          <w:szCs w:val="22"/>
          <w:vertAlign w:val="superscript"/>
          <w:lang w:val="fr-FR"/>
        </w:rPr>
        <w:t>e</w:t>
      </w:r>
      <w:r w:rsidR="00AE248E">
        <w:rPr>
          <w:rFonts w:ascii="Arial" w:hAnsi="Arial" w:cs="Arial"/>
          <w:sz w:val="22"/>
          <w:szCs w:val="22"/>
          <w:lang w:val="fr-FR"/>
        </w:rPr>
        <w:t xml:space="preserve"> rang)</w:t>
      </w:r>
      <w:r>
        <w:rPr>
          <w:rFonts w:ascii="Arial" w:hAnsi="Arial" w:cs="Arial"/>
          <w:sz w:val="22"/>
          <w:szCs w:val="22"/>
          <w:lang w:val="fr-FR"/>
        </w:rPr>
        <w:t xml:space="preserve">, </w:t>
      </w:r>
      <w:r w:rsidR="00AE248E">
        <w:rPr>
          <w:rFonts w:ascii="Arial" w:hAnsi="Arial" w:cs="Arial"/>
          <w:sz w:val="22"/>
          <w:szCs w:val="22"/>
          <w:lang w:val="fr-FR"/>
        </w:rPr>
        <w:t>ce qui, vu l’</w:t>
      </w:r>
      <w:r>
        <w:rPr>
          <w:rFonts w:ascii="Arial" w:hAnsi="Arial" w:cs="Arial"/>
          <w:sz w:val="22"/>
          <w:szCs w:val="22"/>
          <w:lang w:val="fr-FR"/>
        </w:rPr>
        <w:t xml:space="preserve">incertitude qui prévaut, </w:t>
      </w:r>
      <w:r w:rsidR="00AE248E">
        <w:rPr>
          <w:rFonts w:ascii="Arial" w:hAnsi="Arial" w:cs="Arial"/>
          <w:sz w:val="22"/>
          <w:szCs w:val="22"/>
          <w:lang w:val="fr-FR"/>
        </w:rPr>
        <w:t>s’apparente clairement à un</w:t>
      </w:r>
      <w:r>
        <w:rPr>
          <w:rFonts w:ascii="Arial" w:hAnsi="Arial" w:cs="Arial"/>
          <w:sz w:val="22"/>
          <w:szCs w:val="22"/>
          <w:lang w:val="fr-FR"/>
        </w:rPr>
        <w:t xml:space="preserve"> piétinement.</w:t>
      </w:r>
      <w:r w:rsidR="00AE248E">
        <w:rPr>
          <w:rFonts w:ascii="Arial" w:hAnsi="Arial" w:cs="Arial"/>
          <w:sz w:val="22"/>
          <w:szCs w:val="22"/>
          <w:lang w:val="fr-FR"/>
        </w:rPr>
        <w:t xml:space="preserve"> Tandis que se jouent autour de cette thématique structurelle vraisemblablement les enjeux et défis les plus cruciaux, le Grand-Duché ne parvient pas à améliorer sa capacité de sophistication du business et son pouvoir d’innovation. </w:t>
      </w:r>
      <w:r w:rsidR="00E266C2">
        <w:rPr>
          <w:rFonts w:ascii="Arial" w:hAnsi="Arial" w:cs="Arial"/>
          <w:sz w:val="22"/>
          <w:szCs w:val="22"/>
          <w:lang w:val="fr-FR"/>
        </w:rPr>
        <w:t>Loi</w:t>
      </w:r>
      <w:r w:rsidR="00AE248E">
        <w:rPr>
          <w:rFonts w:ascii="Arial" w:hAnsi="Arial" w:cs="Arial"/>
          <w:sz w:val="22"/>
          <w:szCs w:val="22"/>
          <w:lang w:val="fr-FR"/>
        </w:rPr>
        <w:t>n d’être une condition suffisante, l</w:t>
      </w:r>
      <w:r w:rsidR="00E266C2">
        <w:rPr>
          <w:rFonts w:ascii="Arial" w:hAnsi="Arial" w:cs="Arial"/>
          <w:sz w:val="22"/>
          <w:szCs w:val="22"/>
          <w:lang w:val="fr-FR"/>
        </w:rPr>
        <w:t>es investissements et l</w:t>
      </w:r>
      <w:r w:rsidR="00AE248E">
        <w:rPr>
          <w:rFonts w:ascii="Arial" w:hAnsi="Arial" w:cs="Arial"/>
          <w:sz w:val="22"/>
          <w:szCs w:val="22"/>
          <w:lang w:val="fr-FR"/>
        </w:rPr>
        <w:t xml:space="preserve">a mise à disposition de moyens financiers importants </w:t>
      </w:r>
      <w:r w:rsidR="00E266C2">
        <w:rPr>
          <w:rFonts w:ascii="Arial" w:hAnsi="Arial" w:cs="Arial"/>
          <w:sz w:val="22"/>
          <w:szCs w:val="22"/>
          <w:lang w:val="fr-FR"/>
        </w:rPr>
        <w:t>en faveur de l’innovation</w:t>
      </w:r>
      <w:r w:rsidR="00AE248E">
        <w:rPr>
          <w:rFonts w:ascii="Arial" w:hAnsi="Arial" w:cs="Arial"/>
          <w:sz w:val="22"/>
          <w:szCs w:val="22"/>
          <w:lang w:val="fr-FR"/>
        </w:rPr>
        <w:t>, d</w:t>
      </w:r>
      <w:r w:rsidR="00E266C2">
        <w:rPr>
          <w:rFonts w:ascii="Arial" w:hAnsi="Arial" w:cs="Arial"/>
          <w:sz w:val="22"/>
          <w:szCs w:val="22"/>
          <w:lang w:val="fr-FR"/>
        </w:rPr>
        <w:t>e</w:t>
      </w:r>
      <w:r w:rsidR="00AE248E">
        <w:rPr>
          <w:rFonts w:ascii="Arial" w:hAnsi="Arial" w:cs="Arial"/>
          <w:sz w:val="22"/>
          <w:szCs w:val="22"/>
          <w:lang w:val="fr-FR"/>
        </w:rPr>
        <w:t xml:space="preserve"> l’université et </w:t>
      </w:r>
      <w:r w:rsidR="00E266C2">
        <w:rPr>
          <w:rFonts w:ascii="Arial" w:hAnsi="Arial" w:cs="Arial"/>
          <w:sz w:val="22"/>
          <w:szCs w:val="22"/>
          <w:lang w:val="fr-FR"/>
        </w:rPr>
        <w:t>d</w:t>
      </w:r>
      <w:r w:rsidR="00AE248E">
        <w:rPr>
          <w:rFonts w:ascii="Arial" w:hAnsi="Arial" w:cs="Arial"/>
          <w:sz w:val="22"/>
          <w:szCs w:val="22"/>
          <w:lang w:val="fr-FR"/>
        </w:rPr>
        <w:t xml:space="preserve">es centres de recherche publics doivent s’accompagner de logique de ciblage des moyens, d’évaluation des résultats et de valorisation de la recherche. </w:t>
      </w:r>
    </w:p>
    <w:p w:rsidR="002F79C5" w:rsidRDefault="002F79C5" w:rsidP="00272D3F">
      <w:pPr>
        <w:jc w:val="both"/>
        <w:rPr>
          <w:rFonts w:ascii="Arial" w:hAnsi="Arial" w:cs="Arial"/>
          <w:sz w:val="22"/>
          <w:szCs w:val="22"/>
          <w:lang w:val="fr-FR"/>
        </w:rPr>
      </w:pPr>
    </w:p>
    <w:p w:rsidR="002F79C5" w:rsidRDefault="002F79C5" w:rsidP="002D731F">
      <w:pPr>
        <w:rPr>
          <w:rFonts w:ascii="Arial" w:hAnsi="Arial" w:cs="Arial"/>
          <w:b/>
          <w:sz w:val="22"/>
          <w:szCs w:val="22"/>
          <w:u w:val="single"/>
          <w:lang w:val="fr-FR"/>
        </w:rPr>
      </w:pPr>
      <w:r w:rsidRPr="002D731F">
        <w:rPr>
          <w:rFonts w:ascii="Arial" w:hAnsi="Arial" w:cs="Arial"/>
          <w:b/>
          <w:sz w:val="22"/>
          <w:szCs w:val="22"/>
          <w:u w:val="single"/>
          <w:lang w:val="fr-FR"/>
        </w:rPr>
        <w:t xml:space="preserve">Graphique_4 : Evolution de </w:t>
      </w:r>
      <w:r w:rsidR="00476A4F">
        <w:rPr>
          <w:rFonts w:ascii="Arial" w:hAnsi="Arial" w:cs="Arial"/>
          <w:b/>
          <w:sz w:val="22"/>
          <w:szCs w:val="22"/>
          <w:u w:val="single"/>
          <w:lang w:val="fr-FR"/>
        </w:rPr>
        <w:t>la catégorie</w:t>
      </w:r>
      <w:r w:rsidRPr="002D731F">
        <w:rPr>
          <w:rFonts w:ascii="Arial" w:hAnsi="Arial" w:cs="Arial"/>
          <w:b/>
          <w:sz w:val="22"/>
          <w:szCs w:val="22"/>
          <w:u w:val="single"/>
          <w:lang w:val="fr-FR"/>
        </w:rPr>
        <w:t xml:space="preserve"> « Innovation et degré de sophistication des entreprises »</w:t>
      </w:r>
    </w:p>
    <w:p w:rsidR="00E06EF9" w:rsidRPr="002D731F" w:rsidRDefault="00E06EF9" w:rsidP="002D731F">
      <w:pPr>
        <w:rPr>
          <w:rFonts w:ascii="Arial" w:hAnsi="Arial" w:cs="Arial"/>
          <w:b/>
          <w:sz w:val="22"/>
          <w:szCs w:val="22"/>
          <w:u w:val="single"/>
          <w:lang w:val="fr-FR"/>
        </w:rPr>
      </w:pPr>
    </w:p>
    <w:p w:rsidR="002F79C5" w:rsidRPr="002F79C5" w:rsidRDefault="00EE4E0C" w:rsidP="002F79C5">
      <w:pPr>
        <w:jc w:val="center"/>
        <w:rPr>
          <w:rFonts w:ascii="Arial" w:hAnsi="Arial" w:cs="Arial"/>
          <w:sz w:val="22"/>
          <w:szCs w:val="22"/>
          <w:u w:val="single"/>
          <w:lang w:val="fr-FR"/>
        </w:rPr>
      </w:pPr>
      <w:r w:rsidRPr="00EE4E0C">
        <w:rPr>
          <w:rFonts w:ascii="Arial" w:hAnsi="Arial" w:cs="Arial"/>
          <w:noProof/>
          <w:sz w:val="22"/>
          <w:szCs w:val="22"/>
          <w:u w:val="single"/>
        </w:rPr>
        <w:drawing>
          <wp:inline distT="0" distB="0" distL="0" distR="0">
            <wp:extent cx="5972810" cy="3180715"/>
            <wp:effectExtent l="57150" t="19050" r="46990" b="635"/>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3DA1" w:rsidRPr="006D749E" w:rsidRDefault="00FB3DA1" w:rsidP="006D749E">
      <w:pPr>
        <w:jc w:val="center"/>
        <w:rPr>
          <w:rFonts w:ascii="Arial" w:hAnsi="Arial" w:cs="Arial"/>
          <w:sz w:val="22"/>
          <w:szCs w:val="22"/>
          <w:u w:val="single"/>
          <w:lang w:val="fr-LU"/>
        </w:rPr>
      </w:pPr>
    </w:p>
    <w:p w:rsidR="00E509EF" w:rsidRDefault="00E554AF" w:rsidP="00FF5807">
      <w:pPr>
        <w:jc w:val="both"/>
        <w:rPr>
          <w:rFonts w:ascii="Arial" w:hAnsi="Arial" w:cs="Arial"/>
          <w:sz w:val="22"/>
          <w:szCs w:val="22"/>
          <w:lang w:val="fr-LU"/>
        </w:rPr>
      </w:pPr>
      <w:r>
        <w:rPr>
          <w:rFonts w:ascii="Arial" w:hAnsi="Arial" w:cs="Arial"/>
          <w:sz w:val="22"/>
          <w:szCs w:val="22"/>
          <w:lang w:val="fr-LU"/>
        </w:rPr>
        <w:t>En conclusion</w:t>
      </w:r>
      <w:r w:rsidR="00FF5807" w:rsidRPr="00FF5807">
        <w:rPr>
          <w:rFonts w:ascii="Arial" w:hAnsi="Arial" w:cs="Arial"/>
          <w:sz w:val="22"/>
          <w:szCs w:val="22"/>
          <w:lang w:val="fr-LU"/>
        </w:rPr>
        <w:t xml:space="preserve">, la Chambre de Commerce ne peut qu’inviter les pouvoirs publics et la société luxembourgeoise dans son ensemble à s’intéresser au </w:t>
      </w:r>
      <w:r w:rsidR="00FF5807">
        <w:rPr>
          <w:rFonts w:ascii="Arial" w:hAnsi="Arial" w:cs="Arial"/>
          <w:sz w:val="22"/>
          <w:szCs w:val="22"/>
          <w:lang w:val="fr-LU"/>
        </w:rPr>
        <w:t xml:space="preserve">présent </w:t>
      </w:r>
      <w:r w:rsidR="00FF5807" w:rsidRPr="00FF5807">
        <w:rPr>
          <w:rFonts w:ascii="Arial" w:hAnsi="Arial" w:cs="Arial"/>
          <w:sz w:val="22"/>
          <w:szCs w:val="22"/>
          <w:lang w:val="fr-LU"/>
        </w:rPr>
        <w:t xml:space="preserve">rapport du </w:t>
      </w:r>
      <w:r w:rsidR="00645ABC" w:rsidRPr="00645ABC">
        <w:rPr>
          <w:rFonts w:ascii="Arial" w:hAnsi="Arial" w:cs="Arial"/>
          <w:i/>
          <w:sz w:val="22"/>
          <w:szCs w:val="22"/>
          <w:lang w:val="fr-LU"/>
        </w:rPr>
        <w:t xml:space="preserve">World </w:t>
      </w:r>
      <w:proofErr w:type="spellStart"/>
      <w:r w:rsidR="00645ABC" w:rsidRPr="00645ABC">
        <w:rPr>
          <w:rFonts w:ascii="Arial" w:hAnsi="Arial" w:cs="Arial"/>
          <w:i/>
          <w:sz w:val="22"/>
          <w:szCs w:val="22"/>
          <w:lang w:val="fr-LU"/>
        </w:rPr>
        <w:t>Economic</w:t>
      </w:r>
      <w:proofErr w:type="spellEnd"/>
      <w:r w:rsidR="00645ABC" w:rsidRPr="00645ABC">
        <w:rPr>
          <w:rFonts w:ascii="Arial" w:hAnsi="Arial" w:cs="Arial"/>
          <w:i/>
          <w:sz w:val="22"/>
          <w:szCs w:val="22"/>
          <w:lang w:val="fr-LU"/>
        </w:rPr>
        <w:t xml:space="preserve"> Forum</w:t>
      </w:r>
      <w:r w:rsidR="00FF5807">
        <w:rPr>
          <w:rFonts w:ascii="Arial" w:hAnsi="Arial" w:cs="Arial"/>
          <w:sz w:val="22"/>
          <w:szCs w:val="22"/>
          <w:lang w:val="fr-LU"/>
        </w:rPr>
        <w:t xml:space="preserve"> qui a le mérite d’identifier un certains nombre d’aspects difficiles</w:t>
      </w:r>
      <w:r w:rsidR="005450E0">
        <w:rPr>
          <w:rFonts w:ascii="Arial" w:hAnsi="Arial" w:cs="Arial"/>
          <w:sz w:val="22"/>
          <w:szCs w:val="22"/>
          <w:lang w:val="fr-LU"/>
        </w:rPr>
        <w:t>,</w:t>
      </w:r>
      <w:r w:rsidR="00FF5807">
        <w:rPr>
          <w:rFonts w:ascii="Arial" w:hAnsi="Arial" w:cs="Arial"/>
          <w:sz w:val="22"/>
          <w:szCs w:val="22"/>
          <w:lang w:val="fr-LU"/>
        </w:rPr>
        <w:t xml:space="preserve"> voire de dysfonctionnements structurels de l’économie nationale qui se doivent de capter l’attention et la réflexion en vue de porter des actions concrètes correctrices et pertinentes. </w:t>
      </w:r>
    </w:p>
    <w:p w:rsidR="00E509EF" w:rsidRDefault="00E509EF" w:rsidP="00FF5807">
      <w:pPr>
        <w:jc w:val="both"/>
        <w:rPr>
          <w:rFonts w:ascii="Arial" w:hAnsi="Arial" w:cs="Arial"/>
          <w:sz w:val="22"/>
          <w:szCs w:val="22"/>
          <w:lang w:val="fr-LU"/>
        </w:rPr>
      </w:pPr>
    </w:p>
    <w:p w:rsidR="00E554AF" w:rsidRDefault="00E554AF">
      <w:pPr>
        <w:rPr>
          <w:rFonts w:ascii="Arial" w:hAnsi="Arial" w:cs="Arial"/>
          <w:b/>
          <w:sz w:val="22"/>
          <w:szCs w:val="22"/>
          <w:u w:val="single"/>
          <w:lang w:val="fr-LU"/>
        </w:rPr>
      </w:pPr>
      <w:r>
        <w:rPr>
          <w:rFonts w:ascii="Arial" w:hAnsi="Arial" w:cs="Arial"/>
          <w:b/>
          <w:sz w:val="22"/>
          <w:szCs w:val="22"/>
          <w:u w:val="single"/>
          <w:lang w:val="fr-LU"/>
        </w:rPr>
        <w:br w:type="page"/>
      </w:r>
    </w:p>
    <w:p w:rsidR="00FB3DA1" w:rsidRPr="002E7BC9" w:rsidRDefault="006D749E" w:rsidP="00FF5807">
      <w:pPr>
        <w:jc w:val="both"/>
        <w:rPr>
          <w:rFonts w:ascii="Arial" w:hAnsi="Arial" w:cs="Arial"/>
          <w:b/>
          <w:sz w:val="22"/>
          <w:szCs w:val="22"/>
          <w:u w:val="single"/>
          <w:lang w:val="fr-LU"/>
        </w:rPr>
      </w:pPr>
      <w:r w:rsidRPr="002E7BC9">
        <w:rPr>
          <w:rFonts w:ascii="Arial" w:hAnsi="Arial" w:cs="Arial"/>
          <w:b/>
          <w:sz w:val="22"/>
          <w:szCs w:val="22"/>
          <w:u w:val="single"/>
          <w:lang w:val="fr-LU"/>
        </w:rPr>
        <w:t>Tableau</w:t>
      </w:r>
      <w:r w:rsidR="00E509EF">
        <w:rPr>
          <w:rFonts w:ascii="Arial" w:hAnsi="Arial" w:cs="Arial"/>
          <w:b/>
          <w:sz w:val="22"/>
          <w:szCs w:val="22"/>
          <w:u w:val="single"/>
          <w:lang w:val="fr-LU"/>
        </w:rPr>
        <w:t xml:space="preserve"> </w:t>
      </w:r>
      <w:r w:rsidRPr="002E7BC9">
        <w:rPr>
          <w:rFonts w:ascii="Arial" w:hAnsi="Arial" w:cs="Arial"/>
          <w:b/>
          <w:sz w:val="22"/>
          <w:szCs w:val="22"/>
          <w:u w:val="single"/>
          <w:lang w:val="fr-LU"/>
        </w:rPr>
        <w:t>2 : Classement Gl</w:t>
      </w:r>
      <w:r w:rsidR="002E7BC9">
        <w:rPr>
          <w:rFonts w:ascii="Arial" w:hAnsi="Arial" w:cs="Arial"/>
          <w:b/>
          <w:sz w:val="22"/>
          <w:szCs w:val="22"/>
          <w:u w:val="single"/>
          <w:lang w:val="fr-LU"/>
        </w:rPr>
        <w:t>obal (201</w:t>
      </w:r>
      <w:r w:rsidR="00EE4E0C">
        <w:rPr>
          <w:rFonts w:ascii="Arial" w:hAnsi="Arial" w:cs="Arial"/>
          <w:b/>
          <w:sz w:val="22"/>
          <w:szCs w:val="22"/>
          <w:u w:val="single"/>
          <w:lang w:val="fr-LU"/>
        </w:rPr>
        <w:t>1</w:t>
      </w:r>
      <w:r w:rsidR="002E7BC9">
        <w:rPr>
          <w:rFonts w:ascii="Arial" w:hAnsi="Arial" w:cs="Arial"/>
          <w:b/>
          <w:sz w:val="22"/>
          <w:szCs w:val="22"/>
          <w:u w:val="single"/>
          <w:lang w:val="fr-LU"/>
        </w:rPr>
        <w:t>-201</w:t>
      </w:r>
      <w:r w:rsidR="00EE4E0C">
        <w:rPr>
          <w:rFonts w:ascii="Arial" w:hAnsi="Arial" w:cs="Arial"/>
          <w:b/>
          <w:sz w:val="22"/>
          <w:szCs w:val="22"/>
          <w:u w:val="single"/>
          <w:lang w:val="fr-LU"/>
        </w:rPr>
        <w:t>2</w:t>
      </w:r>
      <w:r w:rsidR="002E7BC9">
        <w:rPr>
          <w:rFonts w:ascii="Arial" w:hAnsi="Arial" w:cs="Arial"/>
          <w:b/>
          <w:sz w:val="22"/>
          <w:szCs w:val="22"/>
          <w:u w:val="single"/>
          <w:lang w:val="fr-LU"/>
        </w:rPr>
        <w:t>) et comparaison</w:t>
      </w:r>
      <w:r w:rsidRPr="002E7BC9">
        <w:rPr>
          <w:rFonts w:ascii="Arial" w:hAnsi="Arial" w:cs="Arial"/>
          <w:b/>
          <w:sz w:val="22"/>
          <w:szCs w:val="22"/>
          <w:u w:val="single"/>
          <w:lang w:val="fr-LU"/>
        </w:rPr>
        <w:t xml:space="preserve"> avec l’étude précédente</w:t>
      </w:r>
    </w:p>
    <w:p w:rsidR="00C217BA" w:rsidRPr="006D749E" w:rsidRDefault="00CA5306" w:rsidP="00C217BA">
      <w:pPr>
        <w:rPr>
          <w:rFonts w:ascii="Arial" w:hAnsi="Arial" w:cs="Arial"/>
          <w:b/>
          <w:sz w:val="22"/>
          <w:szCs w:val="22"/>
          <w:lang w:val="fr-LU"/>
        </w:rPr>
      </w:pPr>
      <w:r>
        <w:rPr>
          <w:rFonts w:ascii="Arial" w:hAnsi="Arial" w:cs="Arial"/>
          <w:b/>
          <w:noProof/>
          <w:sz w:val="22"/>
          <w:szCs w:val="22"/>
        </w:rPr>
        <w:drawing>
          <wp:inline distT="0" distB="0" distL="0" distR="0">
            <wp:extent cx="5749502" cy="8341743"/>
            <wp:effectExtent l="19050" t="0" r="3598"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760967" cy="8358377"/>
                    </a:xfrm>
                    <a:prstGeom prst="rect">
                      <a:avLst/>
                    </a:prstGeom>
                    <a:noFill/>
                    <a:ln w="9525">
                      <a:noFill/>
                      <a:miter lim="800000"/>
                      <a:headEnd/>
                      <a:tailEnd/>
                    </a:ln>
                  </pic:spPr>
                </pic:pic>
              </a:graphicData>
            </a:graphic>
          </wp:inline>
        </w:drawing>
      </w:r>
    </w:p>
    <w:p w:rsidR="00FB3DA1" w:rsidRPr="006D749E" w:rsidRDefault="00FB3DA1" w:rsidP="00C217BA">
      <w:pPr>
        <w:rPr>
          <w:rFonts w:ascii="Arial" w:hAnsi="Arial" w:cs="Arial"/>
          <w:b/>
          <w:sz w:val="22"/>
          <w:szCs w:val="22"/>
          <w:lang w:val="fr-LU"/>
        </w:rPr>
      </w:pPr>
    </w:p>
    <w:p w:rsidR="008B7104" w:rsidRPr="006D749E" w:rsidRDefault="00DE3D02" w:rsidP="00C217BA">
      <w:pPr>
        <w:rPr>
          <w:rFonts w:ascii="Arial" w:hAnsi="Arial" w:cs="Arial"/>
          <w:sz w:val="22"/>
          <w:szCs w:val="22"/>
          <w:lang w:val="fr-LU"/>
        </w:rPr>
      </w:pPr>
      <w:r w:rsidRPr="00DE3D02">
        <w:rPr>
          <w:rFonts w:ascii="Arial" w:hAnsi="Arial" w:cs="Arial"/>
          <w:noProof/>
          <w:sz w:val="22"/>
          <w:szCs w:val="22"/>
          <w:lang w:val="fr-LU" w:eastAsia="fr-LU"/>
        </w:rPr>
        <w:pict>
          <v:shapetype id="_x0000_t202" coordsize="21600,21600" o:spt="202" path="m,l,21600r21600,l21600,xe">
            <v:stroke joinstyle="miter"/>
            <v:path gradientshapeok="t" o:connecttype="rect"/>
          </v:shapetype>
          <v:shape id="_x0000_s1026" type="#_x0000_t202" style="position:absolute;margin-left:-15pt;margin-top:4.5pt;width:560.25pt;height:48pt;z-index:251657216">
            <v:textbox>
              <w:txbxContent>
                <w:p w:rsidR="00695DF3" w:rsidRPr="00FB3DA1" w:rsidRDefault="00695DF3" w:rsidP="00FB3DA1">
                  <w:pPr>
                    <w:jc w:val="both"/>
                    <w:rPr>
                      <w:rFonts w:ascii="Arial" w:hAnsi="Arial" w:cs="Arial"/>
                      <w:sz w:val="22"/>
                      <w:szCs w:val="22"/>
                      <w:lang w:val="fr-LU"/>
                    </w:rPr>
                  </w:pPr>
                  <w:r>
                    <w:rPr>
                      <w:rFonts w:ascii="Arial" w:hAnsi="Arial" w:cs="Arial"/>
                      <w:sz w:val="22"/>
                      <w:szCs w:val="22"/>
                      <w:lang w:val="fr-FR"/>
                    </w:rPr>
                    <w:t xml:space="preserve">Le Département Economique de la Chambre de Commerce se tient à votre disposition pour plus d’informations concernant le rapport 2011-2012 du </w:t>
                  </w:r>
                  <w:r w:rsidRPr="00B1392F">
                    <w:rPr>
                      <w:rFonts w:ascii="Arial" w:hAnsi="Arial" w:cs="Arial"/>
                      <w:i/>
                      <w:sz w:val="22"/>
                      <w:szCs w:val="22"/>
                      <w:lang w:val="fr-FR"/>
                    </w:rPr>
                    <w:t>World Economic Forum</w:t>
                  </w:r>
                  <w:r>
                    <w:rPr>
                      <w:rFonts w:ascii="Arial" w:hAnsi="Arial" w:cs="Arial"/>
                      <w:sz w:val="22"/>
                      <w:szCs w:val="22"/>
                      <w:lang w:val="fr-FR"/>
                    </w:rPr>
                    <w:t xml:space="preserve">, </w:t>
                  </w:r>
                  <w:r w:rsidRPr="00FB3DA1">
                    <w:rPr>
                      <w:rFonts w:ascii="Arial" w:hAnsi="Arial" w:cs="Arial"/>
                      <w:sz w:val="22"/>
                      <w:szCs w:val="22"/>
                      <w:lang w:val="fr-LU"/>
                    </w:rPr>
                    <w:t xml:space="preserve">e-mail : </w:t>
                  </w:r>
                  <w:r>
                    <w:rPr>
                      <w:rFonts w:ascii="Arial" w:hAnsi="Arial" w:cs="Arial"/>
                      <w:sz w:val="22"/>
                      <w:szCs w:val="22"/>
                      <w:lang w:val="fr-LU"/>
                    </w:rPr>
                    <w:t>eco@cc.lu</w:t>
                  </w:r>
                  <w:r w:rsidRPr="00FB3DA1">
                    <w:rPr>
                      <w:rFonts w:ascii="Arial" w:hAnsi="Arial" w:cs="Arial"/>
                      <w:sz w:val="22"/>
                      <w:szCs w:val="22"/>
                      <w:lang w:val="fr-LU"/>
                    </w:rPr>
                    <w:t>, tél. 423939-351 (M. Carlo Thelen, Chief Economist).</w:t>
                  </w:r>
                </w:p>
                <w:p w:rsidR="00695DF3" w:rsidRPr="00FB3DA1" w:rsidRDefault="00695DF3">
                  <w:pPr>
                    <w:rPr>
                      <w:lang w:val="fr-LU"/>
                    </w:rPr>
                  </w:pPr>
                </w:p>
              </w:txbxContent>
            </v:textbox>
          </v:shape>
        </w:pict>
      </w:r>
    </w:p>
    <w:sectPr w:rsidR="008B7104" w:rsidRPr="006D749E" w:rsidSect="0084695E">
      <w:footerReference w:type="even" r:id="rId15"/>
      <w:footerReference w:type="default" r:id="rId16"/>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0F" w:rsidRDefault="00C80A0F">
      <w:r>
        <w:separator/>
      </w:r>
    </w:p>
  </w:endnote>
  <w:endnote w:type="continuationSeparator" w:id="0">
    <w:p w:rsidR="00C80A0F" w:rsidRDefault="00C80A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F3" w:rsidRDefault="00DE3D02" w:rsidP="00BA4829">
    <w:pPr>
      <w:pStyle w:val="Footer"/>
      <w:framePr w:wrap="around" w:vAnchor="text" w:hAnchor="margin" w:xAlign="right" w:y="1"/>
      <w:rPr>
        <w:rStyle w:val="PageNumber"/>
      </w:rPr>
    </w:pPr>
    <w:r>
      <w:rPr>
        <w:rStyle w:val="PageNumber"/>
      </w:rPr>
      <w:fldChar w:fldCharType="begin"/>
    </w:r>
    <w:r w:rsidR="00695DF3">
      <w:rPr>
        <w:rStyle w:val="PageNumber"/>
      </w:rPr>
      <w:instrText xml:space="preserve">PAGE  </w:instrText>
    </w:r>
    <w:r>
      <w:rPr>
        <w:rStyle w:val="PageNumber"/>
      </w:rPr>
      <w:fldChar w:fldCharType="end"/>
    </w:r>
  </w:p>
  <w:p w:rsidR="00695DF3" w:rsidRDefault="00695DF3" w:rsidP="00B451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F3" w:rsidRDefault="00DE3D02" w:rsidP="00BA4829">
    <w:pPr>
      <w:pStyle w:val="Footer"/>
      <w:framePr w:wrap="around" w:vAnchor="text" w:hAnchor="margin" w:xAlign="right" w:y="1"/>
      <w:rPr>
        <w:rStyle w:val="PageNumber"/>
      </w:rPr>
    </w:pPr>
    <w:r>
      <w:rPr>
        <w:rStyle w:val="PageNumber"/>
      </w:rPr>
      <w:fldChar w:fldCharType="begin"/>
    </w:r>
    <w:r w:rsidR="00695DF3">
      <w:rPr>
        <w:rStyle w:val="PageNumber"/>
      </w:rPr>
      <w:instrText xml:space="preserve">PAGE  </w:instrText>
    </w:r>
    <w:r>
      <w:rPr>
        <w:rStyle w:val="PageNumber"/>
      </w:rPr>
      <w:fldChar w:fldCharType="separate"/>
    </w:r>
    <w:r w:rsidR="00132417">
      <w:rPr>
        <w:rStyle w:val="PageNumber"/>
        <w:noProof/>
      </w:rPr>
      <w:t>1</w:t>
    </w:r>
    <w:r>
      <w:rPr>
        <w:rStyle w:val="PageNumber"/>
      </w:rPr>
      <w:fldChar w:fldCharType="end"/>
    </w:r>
  </w:p>
  <w:p w:rsidR="00695DF3" w:rsidRDefault="00695DF3" w:rsidP="00B451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0F" w:rsidRDefault="00C80A0F">
      <w:r>
        <w:separator/>
      </w:r>
    </w:p>
  </w:footnote>
  <w:footnote w:type="continuationSeparator" w:id="0">
    <w:p w:rsidR="00C80A0F" w:rsidRDefault="00C80A0F">
      <w:r>
        <w:continuationSeparator/>
      </w:r>
    </w:p>
  </w:footnote>
  <w:footnote w:id="1">
    <w:p w:rsidR="00695DF3" w:rsidRPr="00C9204D" w:rsidRDefault="00695DF3" w:rsidP="00C9204D">
      <w:pPr>
        <w:pStyle w:val="FootnoteText"/>
        <w:jc w:val="both"/>
        <w:rPr>
          <w:rFonts w:ascii="Arial" w:hAnsi="Arial" w:cs="Arial"/>
          <w:lang w:val="fr-LU"/>
        </w:rPr>
      </w:pPr>
      <w:r w:rsidRPr="00C9204D">
        <w:rPr>
          <w:rStyle w:val="FootnoteReference"/>
          <w:rFonts w:ascii="Arial" w:hAnsi="Arial" w:cs="Arial"/>
        </w:rPr>
        <w:footnoteRef/>
      </w:r>
      <w:r w:rsidRPr="00C9204D">
        <w:rPr>
          <w:rFonts w:ascii="Arial" w:hAnsi="Arial" w:cs="Arial"/>
          <w:lang w:val="fr-LU"/>
        </w:rPr>
        <w:t xml:space="preserve"> Au Grand-Duché, la Chambre de Commerce est en charge du volet “Enquête auprès des décideurs et chefs d’entreprise » du rapport WEF.</w:t>
      </w:r>
    </w:p>
  </w:footnote>
  <w:footnote w:id="2">
    <w:p w:rsidR="00695DF3" w:rsidRPr="00C9204D" w:rsidRDefault="00695DF3" w:rsidP="00C9204D">
      <w:pPr>
        <w:jc w:val="both"/>
        <w:rPr>
          <w:rFonts w:ascii="Arial" w:hAnsi="Arial" w:cs="Arial"/>
          <w:sz w:val="20"/>
          <w:szCs w:val="20"/>
          <w:lang w:val="fr-FR"/>
        </w:rPr>
      </w:pPr>
      <w:r w:rsidRPr="00C9204D">
        <w:rPr>
          <w:rStyle w:val="FootnoteReference"/>
          <w:rFonts w:ascii="Arial" w:hAnsi="Arial" w:cs="Arial"/>
          <w:sz w:val="20"/>
          <w:szCs w:val="20"/>
        </w:rPr>
        <w:footnoteRef/>
      </w:r>
      <w:r w:rsidRPr="00C9204D">
        <w:rPr>
          <w:rFonts w:ascii="Arial" w:hAnsi="Arial" w:cs="Arial"/>
          <w:sz w:val="20"/>
          <w:szCs w:val="20"/>
          <w:lang w:val="fr-LU"/>
        </w:rPr>
        <w:t xml:space="preserve"> La compétitivité, au sens du World </w:t>
      </w:r>
      <w:proofErr w:type="spellStart"/>
      <w:r w:rsidRPr="00C9204D">
        <w:rPr>
          <w:rFonts w:ascii="Arial" w:hAnsi="Arial" w:cs="Arial"/>
          <w:sz w:val="20"/>
          <w:szCs w:val="20"/>
          <w:lang w:val="fr-LU"/>
        </w:rPr>
        <w:t>Economic</w:t>
      </w:r>
      <w:proofErr w:type="spellEnd"/>
      <w:r w:rsidRPr="00C9204D">
        <w:rPr>
          <w:rFonts w:ascii="Arial" w:hAnsi="Arial" w:cs="Arial"/>
          <w:sz w:val="20"/>
          <w:szCs w:val="20"/>
          <w:lang w:val="fr-LU"/>
        </w:rPr>
        <w:t xml:space="preserve"> Forum, désigne « </w:t>
      </w:r>
      <w:r w:rsidRPr="00C9204D">
        <w:rPr>
          <w:rFonts w:ascii="Arial" w:hAnsi="Arial" w:cs="Arial"/>
          <w:i/>
          <w:sz w:val="20"/>
          <w:szCs w:val="20"/>
          <w:lang w:val="fr-LU"/>
        </w:rPr>
        <w:t>l’ensemble des institutions, des politiques et des facteurs qui déterminent le niveau de productivité d’un pays »,</w:t>
      </w:r>
      <w:r w:rsidRPr="00C9204D">
        <w:rPr>
          <w:rFonts w:ascii="Arial" w:hAnsi="Arial" w:cs="Arial"/>
          <w:sz w:val="20"/>
          <w:szCs w:val="20"/>
          <w:lang w:val="fr-LU"/>
        </w:rPr>
        <w:t xml:space="preserve"> lequel niveau de productivité détermine le niveau de prospérité qu’une économie est susceptible d’atteindre ainsi que les taux de rendement auxquels peuvent prétendre les investissements dans l’économie nationale, c'est-à-dire les moteurs de la croissance économique. Elle est une notion multidimensionnelle qui s’appuie sur l’analyse de composantes statistiques et dynamiques pour apprécier le potentiel de croissance des pays. La présente étude de compétitivité est fondée sur l’analyse de l’évolution d’un grand nombre d’indicateurs, eux-mêmes divisés en 12 piliers et regroupés en 3 grandes catégories : les « </w:t>
      </w:r>
      <w:r w:rsidRPr="00C9204D">
        <w:rPr>
          <w:rFonts w:ascii="Arial" w:hAnsi="Arial" w:cs="Arial"/>
          <w:i/>
          <w:sz w:val="20"/>
          <w:szCs w:val="20"/>
          <w:lang w:val="fr-LU"/>
        </w:rPr>
        <w:t>exigences fondamentales en matière de</w:t>
      </w:r>
      <w:r w:rsidRPr="00C9204D">
        <w:rPr>
          <w:rFonts w:ascii="Arial" w:hAnsi="Arial" w:cs="Arial"/>
          <w:sz w:val="20"/>
          <w:szCs w:val="20"/>
          <w:lang w:val="fr-LU"/>
        </w:rPr>
        <w:t xml:space="preserve"> </w:t>
      </w:r>
      <w:r w:rsidRPr="00C9204D">
        <w:rPr>
          <w:rFonts w:ascii="Arial" w:hAnsi="Arial" w:cs="Arial"/>
          <w:i/>
          <w:sz w:val="20"/>
          <w:szCs w:val="20"/>
          <w:lang w:val="fr-LU"/>
        </w:rPr>
        <w:t xml:space="preserve">compétitivité » </w:t>
      </w:r>
      <w:r w:rsidRPr="00C9204D">
        <w:rPr>
          <w:rFonts w:ascii="Arial" w:hAnsi="Arial" w:cs="Arial"/>
          <w:sz w:val="20"/>
          <w:szCs w:val="20"/>
          <w:lang w:val="fr-LU"/>
        </w:rPr>
        <w:t>(</w:t>
      </w:r>
      <w:r w:rsidRPr="00C9204D">
        <w:rPr>
          <w:rFonts w:ascii="Arial" w:hAnsi="Arial" w:cs="Arial"/>
          <w:sz w:val="20"/>
          <w:szCs w:val="20"/>
          <w:lang w:val="fr-FR"/>
        </w:rPr>
        <w:t>institutions publiques, infrastructures, performance macro-économique, santé et enseignement primaire),</w:t>
      </w:r>
      <w:r w:rsidRPr="00C9204D">
        <w:rPr>
          <w:rFonts w:ascii="Arial" w:hAnsi="Arial" w:cs="Arial"/>
          <w:sz w:val="20"/>
          <w:szCs w:val="20"/>
          <w:lang w:val="fr-LU"/>
        </w:rPr>
        <w:t xml:space="preserve"> les « </w:t>
      </w:r>
      <w:r w:rsidRPr="00C9204D">
        <w:rPr>
          <w:rFonts w:ascii="Arial" w:hAnsi="Arial" w:cs="Arial"/>
          <w:i/>
          <w:sz w:val="20"/>
          <w:szCs w:val="20"/>
          <w:lang w:val="fr-LU"/>
        </w:rPr>
        <w:t>facteurs améliorant l’efficacité »</w:t>
      </w:r>
      <w:r w:rsidRPr="00C9204D">
        <w:rPr>
          <w:rFonts w:ascii="Arial" w:hAnsi="Arial" w:cs="Arial"/>
          <w:sz w:val="20"/>
          <w:szCs w:val="20"/>
          <w:lang w:val="fr-LU"/>
        </w:rPr>
        <w:t xml:space="preserve"> (</w:t>
      </w:r>
      <w:r w:rsidRPr="00C9204D">
        <w:rPr>
          <w:rFonts w:ascii="Arial" w:hAnsi="Arial" w:cs="Arial"/>
          <w:sz w:val="20"/>
          <w:szCs w:val="20"/>
          <w:lang w:val="fr-FR"/>
        </w:rPr>
        <w:t>enseignement supérieur et formation continue, efficacité des marchés de biens et du travail, sophistication du marché financier, utilisation des nouvelles technologies, taille du marché)</w:t>
      </w:r>
      <w:r w:rsidRPr="00C9204D">
        <w:rPr>
          <w:rFonts w:ascii="Arial" w:hAnsi="Arial" w:cs="Arial"/>
          <w:sz w:val="20"/>
          <w:szCs w:val="20"/>
          <w:lang w:val="fr-LU"/>
        </w:rPr>
        <w:t xml:space="preserve"> et les « </w:t>
      </w:r>
      <w:r w:rsidRPr="00C9204D">
        <w:rPr>
          <w:rFonts w:ascii="Arial" w:hAnsi="Arial" w:cs="Arial"/>
          <w:i/>
          <w:sz w:val="20"/>
          <w:szCs w:val="20"/>
          <w:lang w:val="fr-LU"/>
        </w:rPr>
        <w:t>facteurs dits</w:t>
      </w:r>
      <w:r w:rsidRPr="00C9204D">
        <w:rPr>
          <w:rFonts w:ascii="Arial" w:hAnsi="Arial" w:cs="Arial"/>
          <w:sz w:val="20"/>
          <w:szCs w:val="20"/>
          <w:lang w:val="fr-LU"/>
        </w:rPr>
        <w:t xml:space="preserve"> </w:t>
      </w:r>
      <w:r w:rsidRPr="00C9204D">
        <w:rPr>
          <w:rFonts w:ascii="Arial" w:hAnsi="Arial" w:cs="Arial"/>
          <w:i/>
          <w:sz w:val="20"/>
          <w:szCs w:val="20"/>
          <w:lang w:val="fr-LU"/>
        </w:rPr>
        <w:t>de sophistication » (</w:t>
      </w:r>
      <w:r w:rsidRPr="00C9204D">
        <w:rPr>
          <w:rFonts w:ascii="Arial" w:hAnsi="Arial" w:cs="Arial"/>
          <w:sz w:val="20"/>
          <w:szCs w:val="20"/>
          <w:lang w:val="fr-LU"/>
        </w:rPr>
        <w:t xml:space="preserve">innovation et </w:t>
      </w:r>
      <w:r w:rsidRPr="00C9204D">
        <w:rPr>
          <w:rFonts w:ascii="Arial" w:hAnsi="Arial" w:cs="Arial"/>
          <w:sz w:val="20"/>
          <w:szCs w:val="20"/>
          <w:lang w:val="fr-FR"/>
        </w:rPr>
        <w:t>degré de sophistication des entreprises</w:t>
      </w:r>
      <w:r w:rsidRPr="00C9204D">
        <w:rPr>
          <w:rFonts w:ascii="Arial" w:hAnsi="Arial" w:cs="Arial"/>
          <w:i/>
          <w:sz w:val="20"/>
          <w:szCs w:val="20"/>
          <w:lang w:val="fr-FR"/>
        </w:rPr>
        <w:t>)</w:t>
      </w:r>
      <w:r w:rsidRPr="00C9204D">
        <w:rPr>
          <w:rFonts w:ascii="Arial" w:hAnsi="Arial" w:cs="Arial"/>
          <w:sz w:val="20"/>
          <w:szCs w:val="20"/>
          <w:lang w:val="fr-FR"/>
        </w:rPr>
        <w:t xml:space="preserve">. </w:t>
      </w:r>
    </w:p>
    <w:p w:rsidR="00695DF3" w:rsidRPr="00C9204D" w:rsidRDefault="00695DF3" w:rsidP="00C9204D">
      <w:pPr>
        <w:pStyle w:val="FootnoteText"/>
        <w:jc w:val="both"/>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1140D"/>
    <w:multiLevelType w:val="hybridMultilevel"/>
    <w:tmpl w:val="29C86150"/>
    <w:lvl w:ilvl="0" w:tplc="0746807A">
      <w:numFmt w:val="bullet"/>
      <w:lvlText w:val="-"/>
      <w:lvlJc w:val="left"/>
      <w:pPr>
        <w:ind w:left="720" w:hanging="360"/>
      </w:pPr>
      <w:rPr>
        <w:rFonts w:ascii="Calibri" w:eastAsia="Calibri" w:hAnsi="Calibri" w:cs="Calibri"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33447"/>
    <w:rsid w:val="00012069"/>
    <w:rsid w:val="00015655"/>
    <w:rsid w:val="00015984"/>
    <w:rsid w:val="0001678D"/>
    <w:rsid w:val="00016C4B"/>
    <w:rsid w:val="00023326"/>
    <w:rsid w:val="000332F0"/>
    <w:rsid w:val="00036892"/>
    <w:rsid w:val="00037890"/>
    <w:rsid w:val="00041474"/>
    <w:rsid w:val="000430CF"/>
    <w:rsid w:val="00043D41"/>
    <w:rsid w:val="00051D6E"/>
    <w:rsid w:val="0005611B"/>
    <w:rsid w:val="00073D2B"/>
    <w:rsid w:val="00075B2C"/>
    <w:rsid w:val="00076203"/>
    <w:rsid w:val="000821E3"/>
    <w:rsid w:val="000823ED"/>
    <w:rsid w:val="00086383"/>
    <w:rsid w:val="0008644D"/>
    <w:rsid w:val="00086E99"/>
    <w:rsid w:val="00094752"/>
    <w:rsid w:val="0009755B"/>
    <w:rsid w:val="000A2070"/>
    <w:rsid w:val="000B4886"/>
    <w:rsid w:val="000B7943"/>
    <w:rsid w:val="000B7B2E"/>
    <w:rsid w:val="000C0A7C"/>
    <w:rsid w:val="000C494D"/>
    <w:rsid w:val="000C5E50"/>
    <w:rsid w:val="000D13D4"/>
    <w:rsid w:val="000D4F37"/>
    <w:rsid w:val="000D6FB9"/>
    <w:rsid w:val="000E1CB4"/>
    <w:rsid w:val="000E7ABB"/>
    <w:rsid w:val="000E7E09"/>
    <w:rsid w:val="000F7726"/>
    <w:rsid w:val="0010043D"/>
    <w:rsid w:val="00105BFB"/>
    <w:rsid w:val="00130A3A"/>
    <w:rsid w:val="00132417"/>
    <w:rsid w:val="00134DFE"/>
    <w:rsid w:val="00140A3F"/>
    <w:rsid w:val="0014518F"/>
    <w:rsid w:val="00150A2A"/>
    <w:rsid w:val="001516A9"/>
    <w:rsid w:val="00157322"/>
    <w:rsid w:val="00157D12"/>
    <w:rsid w:val="00157FAF"/>
    <w:rsid w:val="00170A39"/>
    <w:rsid w:val="00172C17"/>
    <w:rsid w:val="00182600"/>
    <w:rsid w:val="00182CD6"/>
    <w:rsid w:val="00186AA5"/>
    <w:rsid w:val="00186C3C"/>
    <w:rsid w:val="001879CE"/>
    <w:rsid w:val="001A5407"/>
    <w:rsid w:val="001A5CE9"/>
    <w:rsid w:val="001B0A07"/>
    <w:rsid w:val="001B2E95"/>
    <w:rsid w:val="001B3843"/>
    <w:rsid w:val="001B66CA"/>
    <w:rsid w:val="001D1B70"/>
    <w:rsid w:val="001D6696"/>
    <w:rsid w:val="001E17C0"/>
    <w:rsid w:val="001E6CCF"/>
    <w:rsid w:val="001F5F61"/>
    <w:rsid w:val="00202312"/>
    <w:rsid w:val="002073D4"/>
    <w:rsid w:val="00216746"/>
    <w:rsid w:val="0022078A"/>
    <w:rsid w:val="00220D7A"/>
    <w:rsid w:val="002254E1"/>
    <w:rsid w:val="002277B4"/>
    <w:rsid w:val="0023044E"/>
    <w:rsid w:val="002311DF"/>
    <w:rsid w:val="0023213F"/>
    <w:rsid w:val="002328D8"/>
    <w:rsid w:val="00232B5A"/>
    <w:rsid w:val="00232CAF"/>
    <w:rsid w:val="00233447"/>
    <w:rsid w:val="00244992"/>
    <w:rsid w:val="002527F4"/>
    <w:rsid w:val="0025587C"/>
    <w:rsid w:val="00257F69"/>
    <w:rsid w:val="002631F1"/>
    <w:rsid w:val="00264330"/>
    <w:rsid w:val="00272AB5"/>
    <w:rsid w:val="00272D3F"/>
    <w:rsid w:val="0027472E"/>
    <w:rsid w:val="002927AD"/>
    <w:rsid w:val="00294679"/>
    <w:rsid w:val="002A4240"/>
    <w:rsid w:val="002A4910"/>
    <w:rsid w:val="002A4BA5"/>
    <w:rsid w:val="002B36E7"/>
    <w:rsid w:val="002B46F3"/>
    <w:rsid w:val="002C15CA"/>
    <w:rsid w:val="002C2C13"/>
    <w:rsid w:val="002C3606"/>
    <w:rsid w:val="002C3F90"/>
    <w:rsid w:val="002D0A0E"/>
    <w:rsid w:val="002D6D00"/>
    <w:rsid w:val="002D731F"/>
    <w:rsid w:val="002E10DC"/>
    <w:rsid w:val="002E1A30"/>
    <w:rsid w:val="002E7BC9"/>
    <w:rsid w:val="002F0939"/>
    <w:rsid w:val="002F4EC9"/>
    <w:rsid w:val="002F79C5"/>
    <w:rsid w:val="002F7D9D"/>
    <w:rsid w:val="00302AFA"/>
    <w:rsid w:val="0030374A"/>
    <w:rsid w:val="00310DA2"/>
    <w:rsid w:val="003122F1"/>
    <w:rsid w:val="00321860"/>
    <w:rsid w:val="00321F88"/>
    <w:rsid w:val="003249AF"/>
    <w:rsid w:val="003330FE"/>
    <w:rsid w:val="00340D96"/>
    <w:rsid w:val="0034565C"/>
    <w:rsid w:val="0034601D"/>
    <w:rsid w:val="0035309E"/>
    <w:rsid w:val="00353831"/>
    <w:rsid w:val="003542E6"/>
    <w:rsid w:val="00357544"/>
    <w:rsid w:val="00362D76"/>
    <w:rsid w:val="00371B90"/>
    <w:rsid w:val="00374CA7"/>
    <w:rsid w:val="00393B08"/>
    <w:rsid w:val="003A07BA"/>
    <w:rsid w:val="003B0D79"/>
    <w:rsid w:val="003C5B1D"/>
    <w:rsid w:val="003D0595"/>
    <w:rsid w:val="003D3886"/>
    <w:rsid w:val="003D3889"/>
    <w:rsid w:val="003E38E3"/>
    <w:rsid w:val="003E73EF"/>
    <w:rsid w:val="003F0EF1"/>
    <w:rsid w:val="003F3477"/>
    <w:rsid w:val="003F3E8A"/>
    <w:rsid w:val="004026D8"/>
    <w:rsid w:val="004044E8"/>
    <w:rsid w:val="00404DB3"/>
    <w:rsid w:val="00405ED8"/>
    <w:rsid w:val="004169DC"/>
    <w:rsid w:val="00422CAA"/>
    <w:rsid w:val="00423F06"/>
    <w:rsid w:val="00424142"/>
    <w:rsid w:val="004268A3"/>
    <w:rsid w:val="00430D43"/>
    <w:rsid w:val="004320EE"/>
    <w:rsid w:val="0043494D"/>
    <w:rsid w:val="0043627E"/>
    <w:rsid w:val="00437401"/>
    <w:rsid w:val="00451581"/>
    <w:rsid w:val="00452E3F"/>
    <w:rsid w:val="004640BE"/>
    <w:rsid w:val="00467F7A"/>
    <w:rsid w:val="004740FD"/>
    <w:rsid w:val="00476A4F"/>
    <w:rsid w:val="00482A2F"/>
    <w:rsid w:val="00486925"/>
    <w:rsid w:val="004869FE"/>
    <w:rsid w:val="00496131"/>
    <w:rsid w:val="00497FF3"/>
    <w:rsid w:val="004B2227"/>
    <w:rsid w:val="004C3070"/>
    <w:rsid w:val="004C364A"/>
    <w:rsid w:val="004C4C85"/>
    <w:rsid w:val="004C5C97"/>
    <w:rsid w:val="004C668C"/>
    <w:rsid w:val="004C7A31"/>
    <w:rsid w:val="004E57FB"/>
    <w:rsid w:val="004F4FF5"/>
    <w:rsid w:val="005036FB"/>
    <w:rsid w:val="00507940"/>
    <w:rsid w:val="00517CEA"/>
    <w:rsid w:val="0052200B"/>
    <w:rsid w:val="00522F9D"/>
    <w:rsid w:val="005308BD"/>
    <w:rsid w:val="0053591C"/>
    <w:rsid w:val="0053689E"/>
    <w:rsid w:val="005450E0"/>
    <w:rsid w:val="005574B7"/>
    <w:rsid w:val="00560631"/>
    <w:rsid w:val="00574DD6"/>
    <w:rsid w:val="00576837"/>
    <w:rsid w:val="005842B9"/>
    <w:rsid w:val="00585D5E"/>
    <w:rsid w:val="00597DF1"/>
    <w:rsid w:val="005A4C60"/>
    <w:rsid w:val="005A5456"/>
    <w:rsid w:val="005A7047"/>
    <w:rsid w:val="005C7A05"/>
    <w:rsid w:val="005D0ACE"/>
    <w:rsid w:val="005E11EE"/>
    <w:rsid w:val="005E4320"/>
    <w:rsid w:val="005F2D57"/>
    <w:rsid w:val="00600C20"/>
    <w:rsid w:val="00602B79"/>
    <w:rsid w:val="00604729"/>
    <w:rsid w:val="00612683"/>
    <w:rsid w:val="00621685"/>
    <w:rsid w:val="00626760"/>
    <w:rsid w:val="006276BF"/>
    <w:rsid w:val="00632D03"/>
    <w:rsid w:val="006352D5"/>
    <w:rsid w:val="00645ABC"/>
    <w:rsid w:val="00656574"/>
    <w:rsid w:val="00661665"/>
    <w:rsid w:val="00662F92"/>
    <w:rsid w:val="00664726"/>
    <w:rsid w:val="0066513F"/>
    <w:rsid w:val="006723C8"/>
    <w:rsid w:val="0067465A"/>
    <w:rsid w:val="00675C4E"/>
    <w:rsid w:val="00680D56"/>
    <w:rsid w:val="0068594E"/>
    <w:rsid w:val="00694A48"/>
    <w:rsid w:val="00695DF3"/>
    <w:rsid w:val="006A602D"/>
    <w:rsid w:val="006C400B"/>
    <w:rsid w:val="006C49A5"/>
    <w:rsid w:val="006D1A9B"/>
    <w:rsid w:val="006D42EE"/>
    <w:rsid w:val="006D60E0"/>
    <w:rsid w:val="006D749E"/>
    <w:rsid w:val="006E2FCC"/>
    <w:rsid w:val="006E64C4"/>
    <w:rsid w:val="006F3547"/>
    <w:rsid w:val="006F4F98"/>
    <w:rsid w:val="006F7297"/>
    <w:rsid w:val="00702B2E"/>
    <w:rsid w:val="00703CDE"/>
    <w:rsid w:val="00706E42"/>
    <w:rsid w:val="00711273"/>
    <w:rsid w:val="00711E5B"/>
    <w:rsid w:val="00715E59"/>
    <w:rsid w:val="007236E0"/>
    <w:rsid w:val="0072463E"/>
    <w:rsid w:val="00730A04"/>
    <w:rsid w:val="00731962"/>
    <w:rsid w:val="00732773"/>
    <w:rsid w:val="0073296C"/>
    <w:rsid w:val="00733EDD"/>
    <w:rsid w:val="00735620"/>
    <w:rsid w:val="00740A80"/>
    <w:rsid w:val="00745E12"/>
    <w:rsid w:val="00753435"/>
    <w:rsid w:val="00757228"/>
    <w:rsid w:val="007652F8"/>
    <w:rsid w:val="007708FE"/>
    <w:rsid w:val="00771A9F"/>
    <w:rsid w:val="00773C08"/>
    <w:rsid w:val="00791D8D"/>
    <w:rsid w:val="00793A80"/>
    <w:rsid w:val="007970A6"/>
    <w:rsid w:val="007C620F"/>
    <w:rsid w:val="007E04D3"/>
    <w:rsid w:val="007E296B"/>
    <w:rsid w:val="007E5AE7"/>
    <w:rsid w:val="007E7CC1"/>
    <w:rsid w:val="007F217F"/>
    <w:rsid w:val="007F47C7"/>
    <w:rsid w:val="007F7C1F"/>
    <w:rsid w:val="008002C2"/>
    <w:rsid w:val="00801E58"/>
    <w:rsid w:val="00805D25"/>
    <w:rsid w:val="0081080C"/>
    <w:rsid w:val="00814E82"/>
    <w:rsid w:val="008314CD"/>
    <w:rsid w:val="008336F0"/>
    <w:rsid w:val="008355CF"/>
    <w:rsid w:val="00836955"/>
    <w:rsid w:val="008428C0"/>
    <w:rsid w:val="0084695E"/>
    <w:rsid w:val="008500F7"/>
    <w:rsid w:val="0085470D"/>
    <w:rsid w:val="00854B37"/>
    <w:rsid w:val="00857936"/>
    <w:rsid w:val="0086000D"/>
    <w:rsid w:val="00866801"/>
    <w:rsid w:val="00870C8B"/>
    <w:rsid w:val="00876EB1"/>
    <w:rsid w:val="008811D2"/>
    <w:rsid w:val="008828A6"/>
    <w:rsid w:val="0088449A"/>
    <w:rsid w:val="00887616"/>
    <w:rsid w:val="008955FE"/>
    <w:rsid w:val="008975F4"/>
    <w:rsid w:val="008A2202"/>
    <w:rsid w:val="008A3366"/>
    <w:rsid w:val="008A54B2"/>
    <w:rsid w:val="008A6B6D"/>
    <w:rsid w:val="008B394E"/>
    <w:rsid w:val="008B67C8"/>
    <w:rsid w:val="008B7104"/>
    <w:rsid w:val="008C0BAF"/>
    <w:rsid w:val="008D0B3E"/>
    <w:rsid w:val="008D2C75"/>
    <w:rsid w:val="008D30CD"/>
    <w:rsid w:val="008D7C7F"/>
    <w:rsid w:val="008E45B8"/>
    <w:rsid w:val="008F43E0"/>
    <w:rsid w:val="009023B2"/>
    <w:rsid w:val="00903753"/>
    <w:rsid w:val="0091169F"/>
    <w:rsid w:val="0091220B"/>
    <w:rsid w:val="00913060"/>
    <w:rsid w:val="00913A6B"/>
    <w:rsid w:val="00913FCF"/>
    <w:rsid w:val="00915E3F"/>
    <w:rsid w:val="009351E1"/>
    <w:rsid w:val="00935B60"/>
    <w:rsid w:val="00945065"/>
    <w:rsid w:val="00957AC3"/>
    <w:rsid w:val="00962099"/>
    <w:rsid w:val="009623A3"/>
    <w:rsid w:val="00986504"/>
    <w:rsid w:val="00987F4E"/>
    <w:rsid w:val="00997CCC"/>
    <w:rsid w:val="009A0C84"/>
    <w:rsid w:val="009A4360"/>
    <w:rsid w:val="009A5424"/>
    <w:rsid w:val="009A5EA0"/>
    <w:rsid w:val="009D56FE"/>
    <w:rsid w:val="009E478E"/>
    <w:rsid w:val="009E4AA1"/>
    <w:rsid w:val="009E7005"/>
    <w:rsid w:val="009F36E1"/>
    <w:rsid w:val="009F4AF6"/>
    <w:rsid w:val="009F5DDB"/>
    <w:rsid w:val="00A128AA"/>
    <w:rsid w:val="00A235CD"/>
    <w:rsid w:val="00A30B4E"/>
    <w:rsid w:val="00A358F2"/>
    <w:rsid w:val="00A359C4"/>
    <w:rsid w:val="00A41BA8"/>
    <w:rsid w:val="00A500FA"/>
    <w:rsid w:val="00A50E91"/>
    <w:rsid w:val="00A56A8F"/>
    <w:rsid w:val="00A75ADF"/>
    <w:rsid w:val="00A83B75"/>
    <w:rsid w:val="00AA5516"/>
    <w:rsid w:val="00AA603D"/>
    <w:rsid w:val="00AB5E92"/>
    <w:rsid w:val="00AB62E5"/>
    <w:rsid w:val="00AB7383"/>
    <w:rsid w:val="00AC2DDF"/>
    <w:rsid w:val="00AD596E"/>
    <w:rsid w:val="00AD6D1F"/>
    <w:rsid w:val="00AD720E"/>
    <w:rsid w:val="00AE0B5D"/>
    <w:rsid w:val="00AE248E"/>
    <w:rsid w:val="00AE62E8"/>
    <w:rsid w:val="00AF0317"/>
    <w:rsid w:val="00AF28C3"/>
    <w:rsid w:val="00AF465D"/>
    <w:rsid w:val="00AF5A0B"/>
    <w:rsid w:val="00B00DCF"/>
    <w:rsid w:val="00B01853"/>
    <w:rsid w:val="00B029EA"/>
    <w:rsid w:val="00B060F7"/>
    <w:rsid w:val="00B0650B"/>
    <w:rsid w:val="00B1392F"/>
    <w:rsid w:val="00B20748"/>
    <w:rsid w:val="00B247D3"/>
    <w:rsid w:val="00B27553"/>
    <w:rsid w:val="00B303A2"/>
    <w:rsid w:val="00B329FA"/>
    <w:rsid w:val="00B32A7D"/>
    <w:rsid w:val="00B32C3C"/>
    <w:rsid w:val="00B37D64"/>
    <w:rsid w:val="00B434DB"/>
    <w:rsid w:val="00B43A98"/>
    <w:rsid w:val="00B45128"/>
    <w:rsid w:val="00B47AE0"/>
    <w:rsid w:val="00B57A4B"/>
    <w:rsid w:val="00B64EDB"/>
    <w:rsid w:val="00B67030"/>
    <w:rsid w:val="00B67A4E"/>
    <w:rsid w:val="00B718C0"/>
    <w:rsid w:val="00B75292"/>
    <w:rsid w:val="00B75B37"/>
    <w:rsid w:val="00B960AD"/>
    <w:rsid w:val="00B96950"/>
    <w:rsid w:val="00B96ABD"/>
    <w:rsid w:val="00B97808"/>
    <w:rsid w:val="00BA4829"/>
    <w:rsid w:val="00BB60DA"/>
    <w:rsid w:val="00BC2DFE"/>
    <w:rsid w:val="00BC3143"/>
    <w:rsid w:val="00BC41DD"/>
    <w:rsid w:val="00BC76FF"/>
    <w:rsid w:val="00BD4A6A"/>
    <w:rsid w:val="00BE5C29"/>
    <w:rsid w:val="00BF1140"/>
    <w:rsid w:val="00BF13E3"/>
    <w:rsid w:val="00BF7463"/>
    <w:rsid w:val="00BF7772"/>
    <w:rsid w:val="00C00FD8"/>
    <w:rsid w:val="00C217BA"/>
    <w:rsid w:val="00C30C99"/>
    <w:rsid w:val="00C3554B"/>
    <w:rsid w:val="00C4023B"/>
    <w:rsid w:val="00C408BA"/>
    <w:rsid w:val="00C40E9D"/>
    <w:rsid w:val="00C44591"/>
    <w:rsid w:val="00C47C5E"/>
    <w:rsid w:val="00C51BDB"/>
    <w:rsid w:val="00C55686"/>
    <w:rsid w:val="00C5645A"/>
    <w:rsid w:val="00C6136F"/>
    <w:rsid w:val="00C80A0F"/>
    <w:rsid w:val="00C856C6"/>
    <w:rsid w:val="00C91483"/>
    <w:rsid w:val="00C9204D"/>
    <w:rsid w:val="00CA1D11"/>
    <w:rsid w:val="00CA5306"/>
    <w:rsid w:val="00CB2294"/>
    <w:rsid w:val="00CB3FDD"/>
    <w:rsid w:val="00CB51BE"/>
    <w:rsid w:val="00CB51C8"/>
    <w:rsid w:val="00CC15E2"/>
    <w:rsid w:val="00CC5404"/>
    <w:rsid w:val="00CE3C66"/>
    <w:rsid w:val="00CE6BC7"/>
    <w:rsid w:val="00CF7587"/>
    <w:rsid w:val="00D002D6"/>
    <w:rsid w:val="00D07303"/>
    <w:rsid w:val="00D13314"/>
    <w:rsid w:val="00D14FB1"/>
    <w:rsid w:val="00D1606D"/>
    <w:rsid w:val="00D16ABC"/>
    <w:rsid w:val="00D3063C"/>
    <w:rsid w:val="00D32283"/>
    <w:rsid w:val="00D3596F"/>
    <w:rsid w:val="00D400BB"/>
    <w:rsid w:val="00D53C18"/>
    <w:rsid w:val="00D55B8B"/>
    <w:rsid w:val="00D56435"/>
    <w:rsid w:val="00D6633A"/>
    <w:rsid w:val="00D846E9"/>
    <w:rsid w:val="00D85505"/>
    <w:rsid w:val="00D85BB5"/>
    <w:rsid w:val="00D92977"/>
    <w:rsid w:val="00DD04BC"/>
    <w:rsid w:val="00DD2D5D"/>
    <w:rsid w:val="00DD4EDF"/>
    <w:rsid w:val="00DE35CE"/>
    <w:rsid w:val="00DE3D02"/>
    <w:rsid w:val="00DE563C"/>
    <w:rsid w:val="00DE6000"/>
    <w:rsid w:val="00DF300F"/>
    <w:rsid w:val="00DF4761"/>
    <w:rsid w:val="00DF66CB"/>
    <w:rsid w:val="00DF715B"/>
    <w:rsid w:val="00DF715D"/>
    <w:rsid w:val="00E0451E"/>
    <w:rsid w:val="00E06EF9"/>
    <w:rsid w:val="00E140F6"/>
    <w:rsid w:val="00E210D1"/>
    <w:rsid w:val="00E25F51"/>
    <w:rsid w:val="00E266C2"/>
    <w:rsid w:val="00E35C6F"/>
    <w:rsid w:val="00E46791"/>
    <w:rsid w:val="00E46DF6"/>
    <w:rsid w:val="00E509EF"/>
    <w:rsid w:val="00E50FF6"/>
    <w:rsid w:val="00E52773"/>
    <w:rsid w:val="00E554AF"/>
    <w:rsid w:val="00E62C73"/>
    <w:rsid w:val="00E672F4"/>
    <w:rsid w:val="00E72284"/>
    <w:rsid w:val="00E84121"/>
    <w:rsid w:val="00E85214"/>
    <w:rsid w:val="00E87E47"/>
    <w:rsid w:val="00EA53B8"/>
    <w:rsid w:val="00EB004C"/>
    <w:rsid w:val="00EB303D"/>
    <w:rsid w:val="00EB3DA9"/>
    <w:rsid w:val="00EB78C5"/>
    <w:rsid w:val="00EC04BE"/>
    <w:rsid w:val="00EC2D18"/>
    <w:rsid w:val="00ED3DE9"/>
    <w:rsid w:val="00ED477F"/>
    <w:rsid w:val="00ED552C"/>
    <w:rsid w:val="00ED7BEE"/>
    <w:rsid w:val="00EE1E77"/>
    <w:rsid w:val="00EE3849"/>
    <w:rsid w:val="00EE4E0C"/>
    <w:rsid w:val="00EF1485"/>
    <w:rsid w:val="00EF5480"/>
    <w:rsid w:val="00F03041"/>
    <w:rsid w:val="00F07364"/>
    <w:rsid w:val="00F11933"/>
    <w:rsid w:val="00F16C93"/>
    <w:rsid w:val="00F23772"/>
    <w:rsid w:val="00F26DFA"/>
    <w:rsid w:val="00F66EA2"/>
    <w:rsid w:val="00F71F80"/>
    <w:rsid w:val="00F73628"/>
    <w:rsid w:val="00F84F6A"/>
    <w:rsid w:val="00F863B8"/>
    <w:rsid w:val="00F90F66"/>
    <w:rsid w:val="00F9180E"/>
    <w:rsid w:val="00F92ED2"/>
    <w:rsid w:val="00F935E4"/>
    <w:rsid w:val="00F97F16"/>
    <w:rsid w:val="00FA2A3C"/>
    <w:rsid w:val="00FA4417"/>
    <w:rsid w:val="00FB3DA1"/>
    <w:rsid w:val="00FC5396"/>
    <w:rsid w:val="00FC6BB4"/>
    <w:rsid w:val="00FC724A"/>
    <w:rsid w:val="00FD0CF7"/>
    <w:rsid w:val="00FE3BC3"/>
    <w:rsid w:val="00FE5E99"/>
    <w:rsid w:val="00FF3646"/>
    <w:rsid w:val="00FF385D"/>
    <w:rsid w:val="00FF5807"/>
    <w:rsid w:val="00FF7D1C"/>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F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5128"/>
    <w:pPr>
      <w:tabs>
        <w:tab w:val="center" w:pos="4320"/>
        <w:tab w:val="right" w:pos="8640"/>
      </w:tabs>
    </w:pPr>
  </w:style>
  <w:style w:type="character" w:styleId="PageNumber">
    <w:name w:val="page number"/>
    <w:basedOn w:val="DefaultParagraphFont"/>
    <w:rsid w:val="00B45128"/>
  </w:style>
  <w:style w:type="character" w:styleId="Hyperlink">
    <w:name w:val="Hyperlink"/>
    <w:basedOn w:val="DefaultParagraphFont"/>
    <w:rsid w:val="0053591C"/>
    <w:rPr>
      <w:color w:val="0000FF"/>
      <w:u w:val="single"/>
    </w:rPr>
  </w:style>
  <w:style w:type="paragraph" w:styleId="BalloonText">
    <w:name w:val="Balloon Text"/>
    <w:basedOn w:val="Normal"/>
    <w:link w:val="BalloonTextChar"/>
    <w:rsid w:val="00FB3DA1"/>
    <w:rPr>
      <w:rFonts w:ascii="Tahoma" w:hAnsi="Tahoma" w:cs="Tahoma"/>
      <w:sz w:val="16"/>
      <w:szCs w:val="16"/>
    </w:rPr>
  </w:style>
  <w:style w:type="character" w:customStyle="1" w:styleId="BalloonTextChar">
    <w:name w:val="Balloon Text Char"/>
    <w:basedOn w:val="DefaultParagraphFont"/>
    <w:link w:val="BalloonText"/>
    <w:rsid w:val="00FB3DA1"/>
    <w:rPr>
      <w:rFonts w:ascii="Tahoma" w:hAnsi="Tahoma" w:cs="Tahoma"/>
      <w:sz w:val="16"/>
      <w:szCs w:val="16"/>
      <w:lang w:val="en-US" w:eastAsia="en-US"/>
    </w:rPr>
  </w:style>
  <w:style w:type="paragraph" w:customStyle="1" w:styleId="CharCharChar1">
    <w:name w:val="Char Char Char1"/>
    <w:basedOn w:val="Normal"/>
    <w:rsid w:val="00BF1140"/>
    <w:pPr>
      <w:spacing w:after="160" w:line="240" w:lineRule="exact"/>
    </w:pPr>
    <w:rPr>
      <w:rFonts w:ascii="Tahoma" w:hAnsi="Tahoma"/>
      <w:sz w:val="20"/>
      <w:szCs w:val="20"/>
    </w:rPr>
  </w:style>
  <w:style w:type="character" w:styleId="CommentReference">
    <w:name w:val="annotation reference"/>
    <w:basedOn w:val="DefaultParagraphFont"/>
    <w:rsid w:val="00C40E9D"/>
    <w:rPr>
      <w:sz w:val="16"/>
      <w:szCs w:val="16"/>
    </w:rPr>
  </w:style>
  <w:style w:type="paragraph" w:styleId="CommentText">
    <w:name w:val="annotation text"/>
    <w:basedOn w:val="Normal"/>
    <w:link w:val="CommentTextChar"/>
    <w:rsid w:val="00C40E9D"/>
    <w:rPr>
      <w:sz w:val="20"/>
      <w:szCs w:val="20"/>
    </w:rPr>
  </w:style>
  <w:style w:type="character" w:customStyle="1" w:styleId="CommentTextChar">
    <w:name w:val="Comment Text Char"/>
    <w:basedOn w:val="DefaultParagraphFont"/>
    <w:link w:val="CommentText"/>
    <w:rsid w:val="00C40E9D"/>
    <w:rPr>
      <w:lang w:val="en-US" w:eastAsia="en-US"/>
    </w:rPr>
  </w:style>
  <w:style w:type="paragraph" w:styleId="CommentSubject">
    <w:name w:val="annotation subject"/>
    <w:basedOn w:val="CommentText"/>
    <w:next w:val="CommentText"/>
    <w:link w:val="CommentSubjectChar"/>
    <w:rsid w:val="00C40E9D"/>
    <w:rPr>
      <w:b/>
      <w:bCs/>
    </w:rPr>
  </w:style>
  <w:style w:type="character" w:customStyle="1" w:styleId="CommentSubjectChar">
    <w:name w:val="Comment Subject Char"/>
    <w:basedOn w:val="CommentTextChar"/>
    <w:link w:val="CommentSubject"/>
    <w:rsid w:val="00C40E9D"/>
    <w:rPr>
      <w:b/>
      <w:bCs/>
    </w:rPr>
  </w:style>
  <w:style w:type="paragraph" w:styleId="FootnoteText">
    <w:name w:val="footnote text"/>
    <w:basedOn w:val="Normal"/>
    <w:link w:val="FootnoteTextChar"/>
    <w:rsid w:val="00C9204D"/>
    <w:rPr>
      <w:sz w:val="20"/>
      <w:szCs w:val="20"/>
    </w:rPr>
  </w:style>
  <w:style w:type="character" w:customStyle="1" w:styleId="FootnoteTextChar">
    <w:name w:val="Footnote Text Char"/>
    <w:basedOn w:val="DefaultParagraphFont"/>
    <w:link w:val="FootnoteText"/>
    <w:rsid w:val="00C9204D"/>
    <w:rPr>
      <w:lang w:val="en-US" w:eastAsia="en-US"/>
    </w:rPr>
  </w:style>
  <w:style w:type="character" w:styleId="FootnoteReference">
    <w:name w:val="footnote reference"/>
    <w:basedOn w:val="DefaultParagraphFont"/>
    <w:rsid w:val="00C9204D"/>
    <w:rPr>
      <w:vertAlign w:val="superscript"/>
    </w:rPr>
  </w:style>
  <w:style w:type="paragraph" w:styleId="ListParagraph">
    <w:name w:val="List Paragraph"/>
    <w:basedOn w:val="Normal"/>
    <w:uiPriority w:val="34"/>
    <w:qFormat/>
    <w:rsid w:val="006A602D"/>
    <w:pPr>
      <w:ind w:left="720"/>
    </w:pPr>
    <w:rPr>
      <w:rFonts w:eastAsiaTheme="minorHAnsi"/>
      <w:lang w:val="fr-LU" w:eastAsia="fr-LU"/>
    </w:rPr>
  </w:style>
</w:styles>
</file>

<file path=word/webSettings.xml><?xml version="1.0" encoding="utf-8"?>
<w:webSettings xmlns:r="http://schemas.openxmlformats.org/officeDocument/2006/relationships" xmlns:w="http://schemas.openxmlformats.org/wordprocessingml/2006/main">
  <w:divs>
    <w:div w:id="20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hco1\data\ECO\ENQUETE%20%20WEF\2011-2012\Article_WEF_2011_9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hco1\data\ECO\ENQUETE%20%20WEF\2011-2012\Article_WEF_2011_9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hco1\data\ECO\ENQUETE%20%20WEF\2011-2012\Article_WEF_2011_9_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hco1\data\ECO\ENQUETE%20%20WEF\2011-2012\Article_WEF_2011_9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Sheet1!$B$10</c:f>
              <c:strCache>
                <c:ptCount val="1"/>
                <c:pt idx="0">
                  <c:v>Suisse</c:v>
                </c:pt>
              </c:strCache>
            </c:strRef>
          </c:tx>
          <c:marker>
            <c:symbol val="none"/>
          </c:marker>
          <c:dPt>
            <c:idx val="1"/>
            <c:spPr>
              <a:ln w="34925"/>
            </c:spPr>
          </c:dPt>
          <c:cat>
            <c:strRef>
              <c:f>Sheet1!$A$11:$A$15</c:f>
              <c:strCache>
                <c:ptCount val="5"/>
                <c:pt idx="0">
                  <c:v>2007-2008</c:v>
                </c:pt>
                <c:pt idx="1">
                  <c:v>2008-2009</c:v>
                </c:pt>
                <c:pt idx="2">
                  <c:v>2009-2010</c:v>
                </c:pt>
                <c:pt idx="3">
                  <c:v>2010-2011</c:v>
                </c:pt>
                <c:pt idx="4">
                  <c:v>2011-2012</c:v>
                </c:pt>
              </c:strCache>
            </c:strRef>
          </c:cat>
          <c:val>
            <c:numRef>
              <c:f>Sheet1!$B$11:$B$15</c:f>
              <c:numCache>
                <c:formatCode>General</c:formatCode>
                <c:ptCount val="5"/>
                <c:pt idx="0">
                  <c:v>2</c:v>
                </c:pt>
                <c:pt idx="1">
                  <c:v>2</c:v>
                </c:pt>
                <c:pt idx="2">
                  <c:v>1</c:v>
                </c:pt>
                <c:pt idx="3">
                  <c:v>1</c:v>
                </c:pt>
                <c:pt idx="4">
                  <c:v>1</c:v>
                </c:pt>
              </c:numCache>
            </c:numRef>
          </c:val>
        </c:ser>
        <c:ser>
          <c:idx val="1"/>
          <c:order val="1"/>
          <c:tx>
            <c:strRef>
              <c:f>Sheet1!$C$10</c:f>
              <c:strCache>
                <c:ptCount val="1"/>
                <c:pt idx="0">
                  <c:v>Belgique</c:v>
                </c:pt>
              </c:strCache>
            </c:strRef>
          </c:tx>
          <c:spPr>
            <a:ln>
              <a:solidFill>
                <a:schemeClr val="accent3">
                  <a:lumMod val="60000"/>
                  <a:lumOff val="40000"/>
                </a:schemeClr>
              </a:solidFill>
            </a:ln>
          </c:spPr>
          <c:marker>
            <c:symbol val="none"/>
          </c:marker>
          <c:cat>
            <c:strRef>
              <c:f>Sheet1!$A$11:$A$15</c:f>
              <c:strCache>
                <c:ptCount val="5"/>
                <c:pt idx="0">
                  <c:v>2007-2008</c:v>
                </c:pt>
                <c:pt idx="1">
                  <c:v>2008-2009</c:v>
                </c:pt>
                <c:pt idx="2">
                  <c:v>2009-2010</c:v>
                </c:pt>
                <c:pt idx="3">
                  <c:v>2010-2011</c:v>
                </c:pt>
                <c:pt idx="4">
                  <c:v>2011-2012</c:v>
                </c:pt>
              </c:strCache>
            </c:strRef>
          </c:cat>
          <c:val>
            <c:numRef>
              <c:f>Sheet1!$C$11:$C$15</c:f>
              <c:numCache>
                <c:formatCode>General</c:formatCode>
                <c:ptCount val="5"/>
                <c:pt idx="0">
                  <c:v>20</c:v>
                </c:pt>
                <c:pt idx="1">
                  <c:v>19</c:v>
                </c:pt>
                <c:pt idx="2">
                  <c:v>18</c:v>
                </c:pt>
                <c:pt idx="3">
                  <c:v>19</c:v>
                </c:pt>
                <c:pt idx="4">
                  <c:v>15</c:v>
                </c:pt>
              </c:numCache>
            </c:numRef>
          </c:val>
        </c:ser>
        <c:ser>
          <c:idx val="2"/>
          <c:order val="2"/>
          <c:tx>
            <c:strRef>
              <c:f>Sheet1!$D$10</c:f>
              <c:strCache>
                <c:ptCount val="1"/>
                <c:pt idx="0">
                  <c:v>Luxembourg</c:v>
                </c:pt>
              </c:strCache>
            </c:strRef>
          </c:tx>
          <c:spPr>
            <a:ln w="34925">
              <a:solidFill>
                <a:srgbClr val="FF0000"/>
              </a:solidFill>
            </a:ln>
          </c:spPr>
          <c:marker>
            <c:symbol val="circle"/>
            <c:size val="5"/>
            <c:spPr>
              <a:scene3d>
                <a:camera prst="orthographicFront"/>
                <a:lightRig rig="threePt" dir="t"/>
              </a:scene3d>
              <a:sp3d>
                <a:bevelT w="152400" h="50800" prst="softRound"/>
              </a:sp3d>
            </c:spPr>
          </c:marker>
          <c:cat>
            <c:strRef>
              <c:f>Sheet1!$A$11:$A$15</c:f>
              <c:strCache>
                <c:ptCount val="5"/>
                <c:pt idx="0">
                  <c:v>2007-2008</c:v>
                </c:pt>
                <c:pt idx="1">
                  <c:v>2008-2009</c:v>
                </c:pt>
                <c:pt idx="2">
                  <c:v>2009-2010</c:v>
                </c:pt>
                <c:pt idx="3">
                  <c:v>2010-2011</c:v>
                </c:pt>
                <c:pt idx="4">
                  <c:v>2011-2012</c:v>
                </c:pt>
              </c:strCache>
            </c:strRef>
          </c:cat>
          <c:val>
            <c:numRef>
              <c:f>Sheet1!$D$11:$D$15</c:f>
              <c:numCache>
                <c:formatCode>General</c:formatCode>
                <c:ptCount val="5"/>
                <c:pt idx="0">
                  <c:v>25</c:v>
                </c:pt>
                <c:pt idx="1">
                  <c:v>25</c:v>
                </c:pt>
                <c:pt idx="2">
                  <c:v>21</c:v>
                </c:pt>
                <c:pt idx="3">
                  <c:v>20</c:v>
                </c:pt>
                <c:pt idx="4">
                  <c:v>23</c:v>
                </c:pt>
              </c:numCache>
            </c:numRef>
          </c:val>
        </c:ser>
        <c:ser>
          <c:idx val="3"/>
          <c:order val="3"/>
          <c:tx>
            <c:strRef>
              <c:f>Sheet1!$E$10</c:f>
              <c:strCache>
                <c:ptCount val="1"/>
                <c:pt idx="0">
                  <c:v>Allemagne</c:v>
                </c:pt>
              </c:strCache>
            </c:strRef>
          </c:tx>
          <c:marker>
            <c:symbol val="none"/>
          </c:marker>
          <c:cat>
            <c:strRef>
              <c:f>Sheet1!$A$11:$A$15</c:f>
              <c:strCache>
                <c:ptCount val="5"/>
                <c:pt idx="0">
                  <c:v>2007-2008</c:v>
                </c:pt>
                <c:pt idx="1">
                  <c:v>2008-2009</c:v>
                </c:pt>
                <c:pt idx="2">
                  <c:v>2009-2010</c:v>
                </c:pt>
                <c:pt idx="3">
                  <c:v>2010-2011</c:v>
                </c:pt>
                <c:pt idx="4">
                  <c:v>2011-2012</c:v>
                </c:pt>
              </c:strCache>
            </c:strRef>
          </c:cat>
          <c:val>
            <c:numRef>
              <c:f>Sheet1!$E$11:$E$15</c:f>
              <c:numCache>
                <c:formatCode>General</c:formatCode>
                <c:ptCount val="5"/>
                <c:pt idx="0">
                  <c:v>5</c:v>
                </c:pt>
                <c:pt idx="1">
                  <c:v>7</c:v>
                </c:pt>
                <c:pt idx="2">
                  <c:v>5</c:v>
                </c:pt>
                <c:pt idx="3">
                  <c:v>7</c:v>
                </c:pt>
                <c:pt idx="4">
                  <c:v>6</c:v>
                </c:pt>
              </c:numCache>
            </c:numRef>
          </c:val>
        </c:ser>
        <c:ser>
          <c:idx val="4"/>
          <c:order val="4"/>
          <c:tx>
            <c:strRef>
              <c:f>Sheet1!$F$10</c:f>
              <c:strCache>
                <c:ptCount val="1"/>
                <c:pt idx="0">
                  <c:v>Royaume-Uni</c:v>
                </c:pt>
              </c:strCache>
            </c:strRef>
          </c:tx>
          <c:marker>
            <c:symbol val="none"/>
          </c:marker>
          <c:cat>
            <c:strRef>
              <c:f>Sheet1!$A$11:$A$15</c:f>
              <c:strCache>
                <c:ptCount val="5"/>
                <c:pt idx="0">
                  <c:v>2007-2008</c:v>
                </c:pt>
                <c:pt idx="1">
                  <c:v>2008-2009</c:v>
                </c:pt>
                <c:pt idx="2">
                  <c:v>2009-2010</c:v>
                </c:pt>
                <c:pt idx="3">
                  <c:v>2010-2011</c:v>
                </c:pt>
                <c:pt idx="4">
                  <c:v>2011-2012</c:v>
                </c:pt>
              </c:strCache>
            </c:strRef>
          </c:cat>
          <c:val>
            <c:numRef>
              <c:f>Sheet1!$F$11:$F$15</c:f>
              <c:numCache>
                <c:formatCode>General</c:formatCode>
                <c:ptCount val="5"/>
                <c:pt idx="0">
                  <c:v>9</c:v>
                </c:pt>
                <c:pt idx="1">
                  <c:v>12</c:v>
                </c:pt>
                <c:pt idx="2">
                  <c:v>13</c:v>
                </c:pt>
                <c:pt idx="3">
                  <c:v>12</c:v>
                </c:pt>
                <c:pt idx="4">
                  <c:v>10</c:v>
                </c:pt>
              </c:numCache>
            </c:numRef>
          </c:val>
        </c:ser>
        <c:ser>
          <c:idx val="5"/>
          <c:order val="5"/>
          <c:tx>
            <c:strRef>
              <c:f>Sheet1!$G$10</c:f>
              <c:strCache>
                <c:ptCount val="1"/>
                <c:pt idx="0">
                  <c:v>France</c:v>
                </c:pt>
              </c:strCache>
            </c:strRef>
          </c:tx>
          <c:marker>
            <c:symbol val="none"/>
          </c:marker>
          <c:cat>
            <c:strRef>
              <c:f>Sheet1!$A$11:$A$15</c:f>
              <c:strCache>
                <c:ptCount val="5"/>
                <c:pt idx="0">
                  <c:v>2007-2008</c:v>
                </c:pt>
                <c:pt idx="1">
                  <c:v>2008-2009</c:v>
                </c:pt>
                <c:pt idx="2">
                  <c:v>2009-2010</c:v>
                </c:pt>
                <c:pt idx="3">
                  <c:v>2010-2011</c:v>
                </c:pt>
                <c:pt idx="4">
                  <c:v>2011-2012</c:v>
                </c:pt>
              </c:strCache>
            </c:strRef>
          </c:cat>
          <c:val>
            <c:numRef>
              <c:f>Sheet1!$G$11:$G$15</c:f>
              <c:numCache>
                <c:formatCode>General</c:formatCode>
                <c:ptCount val="5"/>
                <c:pt idx="0">
                  <c:v>18</c:v>
                </c:pt>
                <c:pt idx="1">
                  <c:v>16</c:v>
                </c:pt>
                <c:pt idx="2">
                  <c:v>16</c:v>
                </c:pt>
                <c:pt idx="3">
                  <c:v>15</c:v>
                </c:pt>
                <c:pt idx="4">
                  <c:v>18</c:v>
                </c:pt>
              </c:numCache>
            </c:numRef>
          </c:val>
        </c:ser>
        <c:ser>
          <c:idx val="6"/>
          <c:order val="6"/>
          <c:tx>
            <c:strRef>
              <c:f>Sheet1!$H$10</c:f>
              <c:strCache>
                <c:ptCount val="1"/>
                <c:pt idx="0">
                  <c:v>Irlande</c:v>
                </c:pt>
              </c:strCache>
            </c:strRef>
          </c:tx>
          <c:marker>
            <c:symbol val="none"/>
          </c:marker>
          <c:cat>
            <c:strRef>
              <c:f>Sheet1!$A$11:$A$15</c:f>
              <c:strCache>
                <c:ptCount val="5"/>
                <c:pt idx="0">
                  <c:v>2007-2008</c:v>
                </c:pt>
                <c:pt idx="1">
                  <c:v>2008-2009</c:v>
                </c:pt>
                <c:pt idx="2">
                  <c:v>2009-2010</c:v>
                </c:pt>
                <c:pt idx="3">
                  <c:v>2010-2011</c:v>
                </c:pt>
                <c:pt idx="4">
                  <c:v>2011-2012</c:v>
                </c:pt>
              </c:strCache>
            </c:strRef>
          </c:cat>
          <c:val>
            <c:numRef>
              <c:f>Sheet1!$H$11:$H$15</c:f>
              <c:numCache>
                <c:formatCode>General</c:formatCode>
                <c:ptCount val="5"/>
                <c:pt idx="0">
                  <c:v>22</c:v>
                </c:pt>
                <c:pt idx="1">
                  <c:v>22</c:v>
                </c:pt>
                <c:pt idx="2">
                  <c:v>25</c:v>
                </c:pt>
                <c:pt idx="3">
                  <c:v>29</c:v>
                </c:pt>
                <c:pt idx="4">
                  <c:v>29</c:v>
                </c:pt>
              </c:numCache>
            </c:numRef>
          </c:val>
        </c:ser>
        <c:marker val="1"/>
        <c:axId val="5638400"/>
        <c:axId val="5648384"/>
      </c:lineChart>
      <c:catAx>
        <c:axId val="5638400"/>
        <c:scaling>
          <c:orientation val="minMax"/>
        </c:scaling>
        <c:axPos val="t"/>
        <c:tickLblPos val="low"/>
        <c:crossAx val="5648384"/>
        <c:crosses val="autoZero"/>
        <c:auto val="1"/>
        <c:lblAlgn val="ctr"/>
        <c:lblOffset val="100"/>
      </c:catAx>
      <c:valAx>
        <c:axId val="5648384"/>
        <c:scaling>
          <c:orientation val="maxMin"/>
          <c:max val="32"/>
          <c:min val="0"/>
        </c:scaling>
        <c:axPos val="l"/>
        <c:majorGridlines/>
        <c:numFmt formatCode="General" sourceLinked="1"/>
        <c:tickLblPos val="nextTo"/>
        <c:crossAx val="5638400"/>
        <c:crosses val="autoZero"/>
        <c:crossBetween val="between"/>
      </c:valAx>
      <c:dTable>
        <c:showHorzBorder val="1"/>
        <c:showVertBorder val="1"/>
        <c:showOutline val="1"/>
      </c:dTable>
      <c:spPr>
        <a:solidFill>
          <a:schemeClr val="bg2"/>
        </a:solidFill>
        <a:ln w="15875">
          <a:solidFill>
            <a:sysClr val="windowText" lastClr="000000"/>
          </a:solidFill>
        </a:ln>
        <a:effectLst>
          <a:innerShdw blurRad="63500" dist="50800" dir="16200000">
            <a:prstClr val="black">
              <a:alpha val="50000"/>
            </a:prstClr>
          </a:innerShdw>
        </a:effectLst>
      </c:spPr>
    </c:plotArea>
    <c:legend>
      <c:legendPos val="r"/>
    </c:legend>
    <c:plotVisOnly val="1"/>
  </c:chart>
  <c:spPr>
    <a:solidFill>
      <a:schemeClr val="accent6">
        <a:lumMod val="40000"/>
        <a:lumOff val="60000"/>
      </a:schemeClr>
    </a:solidFill>
    <a:ln w="15875">
      <a:solidFill>
        <a:schemeClr val="tx1"/>
      </a:solidFill>
    </a:ln>
    <a:scene3d>
      <a:camera prst="orthographicFront"/>
      <a:lightRig rig="threePt" dir="t"/>
    </a:scene3d>
    <a:sp3d>
      <a:bevelT prst="convex"/>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Sheet3!$B$2</c:f>
              <c:strCache>
                <c:ptCount val="1"/>
                <c:pt idx="0">
                  <c:v>Suisse</c:v>
                </c:pt>
              </c:strCache>
            </c:strRef>
          </c:tx>
          <c:marker>
            <c:symbol val="none"/>
          </c:marker>
          <c:cat>
            <c:strRef>
              <c:f>Sheet3!$A$3:$A$7</c:f>
              <c:strCache>
                <c:ptCount val="5"/>
                <c:pt idx="0">
                  <c:v>2007-2008</c:v>
                </c:pt>
                <c:pt idx="1">
                  <c:v>2008-2009</c:v>
                </c:pt>
                <c:pt idx="2">
                  <c:v>2009-2010</c:v>
                </c:pt>
                <c:pt idx="3">
                  <c:v>2010-2011</c:v>
                </c:pt>
                <c:pt idx="4">
                  <c:v>2011-2012</c:v>
                </c:pt>
              </c:strCache>
            </c:strRef>
          </c:cat>
          <c:val>
            <c:numRef>
              <c:f>Sheet3!$B$3:$B$7</c:f>
              <c:numCache>
                <c:formatCode>General</c:formatCode>
                <c:ptCount val="5"/>
                <c:pt idx="0">
                  <c:v>4</c:v>
                </c:pt>
                <c:pt idx="1">
                  <c:v>2</c:v>
                </c:pt>
                <c:pt idx="2">
                  <c:v>3</c:v>
                </c:pt>
                <c:pt idx="3">
                  <c:v>1</c:v>
                </c:pt>
                <c:pt idx="4">
                  <c:v>3</c:v>
                </c:pt>
              </c:numCache>
            </c:numRef>
          </c:val>
        </c:ser>
        <c:ser>
          <c:idx val="1"/>
          <c:order val="1"/>
          <c:tx>
            <c:strRef>
              <c:f>Sheet3!$C$2</c:f>
              <c:strCache>
                <c:ptCount val="1"/>
                <c:pt idx="0">
                  <c:v>Belgique</c:v>
                </c:pt>
              </c:strCache>
            </c:strRef>
          </c:tx>
          <c:marker>
            <c:symbol val="none"/>
          </c:marker>
          <c:cat>
            <c:strRef>
              <c:f>Sheet3!$A$3:$A$7</c:f>
              <c:strCache>
                <c:ptCount val="5"/>
                <c:pt idx="0">
                  <c:v>2007-2008</c:v>
                </c:pt>
                <c:pt idx="1">
                  <c:v>2008-2009</c:v>
                </c:pt>
                <c:pt idx="2">
                  <c:v>2009-2010</c:v>
                </c:pt>
                <c:pt idx="3">
                  <c:v>2010-2011</c:v>
                </c:pt>
                <c:pt idx="4">
                  <c:v>2011-2012</c:v>
                </c:pt>
              </c:strCache>
            </c:strRef>
          </c:cat>
          <c:val>
            <c:numRef>
              <c:f>Sheet3!$C$3:$C$7</c:f>
              <c:numCache>
                <c:formatCode>General</c:formatCode>
                <c:ptCount val="5"/>
                <c:pt idx="0">
                  <c:v>20</c:v>
                </c:pt>
                <c:pt idx="1">
                  <c:v>18</c:v>
                </c:pt>
                <c:pt idx="2">
                  <c:v>20</c:v>
                </c:pt>
                <c:pt idx="3">
                  <c:v>22</c:v>
                </c:pt>
                <c:pt idx="4">
                  <c:v>22</c:v>
                </c:pt>
              </c:numCache>
            </c:numRef>
          </c:val>
        </c:ser>
        <c:ser>
          <c:idx val="2"/>
          <c:order val="2"/>
          <c:tx>
            <c:strRef>
              <c:f>Sheet3!$D$2</c:f>
              <c:strCache>
                <c:ptCount val="1"/>
                <c:pt idx="0">
                  <c:v>Luxembourg</c:v>
                </c:pt>
              </c:strCache>
            </c:strRef>
          </c:tx>
          <c:spPr>
            <a:ln>
              <a:solidFill>
                <a:srgbClr val="FF0000"/>
              </a:solidFill>
            </a:ln>
          </c:spPr>
          <c:marker>
            <c:symbol val="circle"/>
            <c:size val="5"/>
            <c:spPr>
              <a:solidFill>
                <a:schemeClr val="accent4">
                  <a:lumMod val="75000"/>
                </a:schemeClr>
              </a:solidFill>
            </c:spPr>
          </c:marker>
          <c:cat>
            <c:strRef>
              <c:f>Sheet3!$A$3:$A$7</c:f>
              <c:strCache>
                <c:ptCount val="5"/>
                <c:pt idx="0">
                  <c:v>2007-2008</c:v>
                </c:pt>
                <c:pt idx="1">
                  <c:v>2008-2009</c:v>
                </c:pt>
                <c:pt idx="2">
                  <c:v>2009-2010</c:v>
                </c:pt>
                <c:pt idx="3">
                  <c:v>2010-2011</c:v>
                </c:pt>
                <c:pt idx="4">
                  <c:v>2011-2012</c:v>
                </c:pt>
              </c:strCache>
            </c:strRef>
          </c:cat>
          <c:val>
            <c:numRef>
              <c:f>Sheet3!$D$3:$D$7</c:f>
              <c:numCache>
                <c:formatCode>General</c:formatCode>
                <c:ptCount val="5"/>
                <c:pt idx="0">
                  <c:v>15</c:v>
                </c:pt>
                <c:pt idx="1">
                  <c:v>12</c:v>
                </c:pt>
                <c:pt idx="2">
                  <c:v>7</c:v>
                </c:pt>
                <c:pt idx="3">
                  <c:v>10</c:v>
                </c:pt>
                <c:pt idx="4">
                  <c:v>6</c:v>
                </c:pt>
              </c:numCache>
            </c:numRef>
          </c:val>
        </c:ser>
        <c:ser>
          <c:idx val="3"/>
          <c:order val="3"/>
          <c:tx>
            <c:strRef>
              <c:f>Sheet3!$E$2</c:f>
              <c:strCache>
                <c:ptCount val="1"/>
                <c:pt idx="0">
                  <c:v>Allemagne</c:v>
                </c:pt>
              </c:strCache>
            </c:strRef>
          </c:tx>
          <c:marker>
            <c:symbol val="none"/>
          </c:marker>
          <c:cat>
            <c:strRef>
              <c:f>Sheet3!$A$3:$A$7</c:f>
              <c:strCache>
                <c:ptCount val="5"/>
                <c:pt idx="0">
                  <c:v>2007-2008</c:v>
                </c:pt>
                <c:pt idx="1">
                  <c:v>2008-2009</c:v>
                </c:pt>
                <c:pt idx="2">
                  <c:v>2009-2010</c:v>
                </c:pt>
                <c:pt idx="3">
                  <c:v>2010-2011</c:v>
                </c:pt>
                <c:pt idx="4">
                  <c:v>2011-2012</c:v>
                </c:pt>
              </c:strCache>
            </c:strRef>
          </c:cat>
          <c:val>
            <c:numRef>
              <c:f>Sheet3!$E$3:$E$7</c:f>
              <c:numCache>
                <c:formatCode>General</c:formatCode>
                <c:ptCount val="5"/>
                <c:pt idx="0">
                  <c:v>9</c:v>
                </c:pt>
                <c:pt idx="1">
                  <c:v>7</c:v>
                </c:pt>
                <c:pt idx="2">
                  <c:v>8</c:v>
                </c:pt>
                <c:pt idx="3">
                  <c:v>6</c:v>
                </c:pt>
                <c:pt idx="4">
                  <c:v>11</c:v>
                </c:pt>
              </c:numCache>
            </c:numRef>
          </c:val>
        </c:ser>
        <c:ser>
          <c:idx val="4"/>
          <c:order val="4"/>
          <c:tx>
            <c:strRef>
              <c:f>Sheet3!$F$2</c:f>
              <c:strCache>
                <c:ptCount val="1"/>
                <c:pt idx="0">
                  <c:v>Royaume-Uni</c:v>
                </c:pt>
              </c:strCache>
            </c:strRef>
          </c:tx>
          <c:marker>
            <c:symbol val="none"/>
          </c:marker>
          <c:cat>
            <c:strRef>
              <c:f>Sheet3!$A$3:$A$7</c:f>
              <c:strCache>
                <c:ptCount val="5"/>
                <c:pt idx="0">
                  <c:v>2007-2008</c:v>
                </c:pt>
                <c:pt idx="1">
                  <c:v>2008-2009</c:v>
                </c:pt>
                <c:pt idx="2">
                  <c:v>2009-2010</c:v>
                </c:pt>
                <c:pt idx="3">
                  <c:v>2010-2011</c:v>
                </c:pt>
                <c:pt idx="4">
                  <c:v>2011-2012</c:v>
                </c:pt>
              </c:strCache>
            </c:strRef>
          </c:cat>
          <c:val>
            <c:numRef>
              <c:f>Sheet3!$F$3:$F$7</c:f>
              <c:numCache>
                <c:formatCode>General</c:formatCode>
                <c:ptCount val="5"/>
                <c:pt idx="0">
                  <c:v>9</c:v>
                </c:pt>
                <c:pt idx="1">
                  <c:v>24</c:v>
                </c:pt>
                <c:pt idx="2">
                  <c:v>26</c:v>
                </c:pt>
                <c:pt idx="3">
                  <c:v>18</c:v>
                </c:pt>
                <c:pt idx="4">
                  <c:v>21</c:v>
                </c:pt>
              </c:numCache>
            </c:numRef>
          </c:val>
        </c:ser>
        <c:ser>
          <c:idx val="5"/>
          <c:order val="5"/>
          <c:tx>
            <c:strRef>
              <c:f>Sheet3!$G$2</c:f>
              <c:strCache>
                <c:ptCount val="1"/>
                <c:pt idx="0">
                  <c:v>France</c:v>
                </c:pt>
              </c:strCache>
            </c:strRef>
          </c:tx>
          <c:marker>
            <c:symbol val="none"/>
          </c:marker>
          <c:cat>
            <c:strRef>
              <c:f>Sheet3!$A$3:$A$7</c:f>
              <c:strCache>
                <c:ptCount val="5"/>
                <c:pt idx="0">
                  <c:v>2007-2008</c:v>
                </c:pt>
                <c:pt idx="1">
                  <c:v>2008-2009</c:v>
                </c:pt>
                <c:pt idx="2">
                  <c:v>2009-2010</c:v>
                </c:pt>
                <c:pt idx="3">
                  <c:v>2010-2011</c:v>
                </c:pt>
                <c:pt idx="4">
                  <c:v>2011-2012</c:v>
                </c:pt>
              </c:strCache>
            </c:strRef>
          </c:cat>
          <c:val>
            <c:numRef>
              <c:f>Sheet3!$G$3:$G$7</c:f>
              <c:numCache>
                <c:formatCode>General</c:formatCode>
                <c:ptCount val="5"/>
                <c:pt idx="0">
                  <c:v>13</c:v>
                </c:pt>
                <c:pt idx="1">
                  <c:v>13</c:v>
                </c:pt>
                <c:pt idx="2">
                  <c:v>15</c:v>
                </c:pt>
                <c:pt idx="3">
                  <c:v>16</c:v>
                </c:pt>
                <c:pt idx="4">
                  <c:v>23</c:v>
                </c:pt>
              </c:numCache>
            </c:numRef>
          </c:val>
        </c:ser>
        <c:ser>
          <c:idx val="6"/>
          <c:order val="6"/>
          <c:tx>
            <c:strRef>
              <c:f>Sheet3!$H$2</c:f>
              <c:strCache>
                <c:ptCount val="1"/>
                <c:pt idx="0">
                  <c:v>Irlande</c:v>
                </c:pt>
              </c:strCache>
            </c:strRef>
          </c:tx>
          <c:marker>
            <c:symbol val="none"/>
          </c:marker>
          <c:cat>
            <c:strRef>
              <c:f>Sheet3!$A$3:$A$7</c:f>
              <c:strCache>
                <c:ptCount val="5"/>
                <c:pt idx="0">
                  <c:v>2007-2008</c:v>
                </c:pt>
                <c:pt idx="1">
                  <c:v>2008-2009</c:v>
                </c:pt>
                <c:pt idx="2">
                  <c:v>2009-2010</c:v>
                </c:pt>
                <c:pt idx="3">
                  <c:v>2010-2011</c:v>
                </c:pt>
                <c:pt idx="4">
                  <c:v>2011-2012</c:v>
                </c:pt>
              </c:strCache>
            </c:strRef>
          </c:cat>
          <c:val>
            <c:numRef>
              <c:f>Sheet3!$H$3:$H$7</c:f>
              <c:numCache>
                <c:formatCode>General</c:formatCode>
                <c:ptCount val="5"/>
                <c:pt idx="0">
                  <c:v>27</c:v>
                </c:pt>
                <c:pt idx="1">
                  <c:v>32</c:v>
                </c:pt>
                <c:pt idx="2">
                  <c:v>37</c:v>
                </c:pt>
                <c:pt idx="3">
                  <c:v>35</c:v>
                </c:pt>
                <c:pt idx="4">
                  <c:v>37</c:v>
                </c:pt>
              </c:numCache>
            </c:numRef>
          </c:val>
        </c:ser>
        <c:marker val="1"/>
        <c:axId val="5670400"/>
        <c:axId val="5671936"/>
      </c:lineChart>
      <c:catAx>
        <c:axId val="5670400"/>
        <c:scaling>
          <c:orientation val="minMax"/>
        </c:scaling>
        <c:axPos val="t"/>
        <c:majorTickMark val="none"/>
        <c:tickLblPos val="nextTo"/>
        <c:crossAx val="5671936"/>
        <c:crosses val="autoZero"/>
        <c:auto val="1"/>
        <c:lblAlgn val="ctr"/>
        <c:lblOffset val="100"/>
      </c:catAx>
      <c:valAx>
        <c:axId val="5671936"/>
        <c:scaling>
          <c:orientation val="maxMin"/>
          <c:max val="40"/>
        </c:scaling>
        <c:axPos val="l"/>
        <c:majorGridlines/>
        <c:numFmt formatCode="General" sourceLinked="1"/>
        <c:majorTickMark val="none"/>
        <c:tickLblPos val="nextTo"/>
        <c:crossAx val="5670400"/>
        <c:crosses val="autoZero"/>
        <c:crossBetween val="between"/>
      </c:valAx>
      <c:spPr>
        <a:solidFill>
          <a:schemeClr val="bg2"/>
        </a:solidFill>
        <a:effectLst>
          <a:innerShdw blurRad="63500" dist="50800" dir="16200000">
            <a:prstClr val="black">
              <a:alpha val="50000"/>
            </a:prstClr>
          </a:innerShdw>
        </a:effectLst>
      </c:spPr>
    </c:plotArea>
    <c:legend>
      <c:legendPos val="r"/>
    </c:legend>
    <c:plotVisOnly val="1"/>
  </c:chart>
  <c:spPr>
    <a:solidFill>
      <a:schemeClr val="accent6">
        <a:lumMod val="20000"/>
        <a:lumOff val="80000"/>
      </a:schemeClr>
    </a:solidFill>
    <a:scene3d>
      <a:camera prst="orthographicFront"/>
      <a:lightRig rig="threePt" dir="t"/>
    </a:scene3d>
    <a:sp3d>
      <a:bevelT prst="convex"/>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Sheet3!$B$17</c:f>
              <c:strCache>
                <c:ptCount val="1"/>
                <c:pt idx="0">
                  <c:v>Suisse</c:v>
                </c:pt>
              </c:strCache>
            </c:strRef>
          </c:tx>
          <c:marker>
            <c:symbol val="none"/>
          </c:marker>
          <c:cat>
            <c:strRef>
              <c:f>Sheet3!$A$18:$A$22</c:f>
              <c:strCache>
                <c:ptCount val="5"/>
                <c:pt idx="0">
                  <c:v>2007-2008</c:v>
                </c:pt>
                <c:pt idx="1">
                  <c:v>2008-2009</c:v>
                </c:pt>
                <c:pt idx="2">
                  <c:v>2009-2010</c:v>
                </c:pt>
                <c:pt idx="3">
                  <c:v>2010-2011</c:v>
                </c:pt>
                <c:pt idx="4">
                  <c:v>2011-2012</c:v>
                </c:pt>
              </c:strCache>
            </c:strRef>
          </c:cat>
          <c:val>
            <c:numRef>
              <c:f>Sheet3!$B$18:$B$22</c:f>
              <c:numCache>
                <c:formatCode>General</c:formatCode>
                <c:ptCount val="5"/>
                <c:pt idx="0">
                  <c:v>7</c:v>
                </c:pt>
                <c:pt idx="1">
                  <c:v>8</c:v>
                </c:pt>
                <c:pt idx="2">
                  <c:v>3</c:v>
                </c:pt>
                <c:pt idx="3">
                  <c:v>4</c:v>
                </c:pt>
                <c:pt idx="4">
                  <c:v>2</c:v>
                </c:pt>
              </c:numCache>
            </c:numRef>
          </c:val>
        </c:ser>
        <c:ser>
          <c:idx val="1"/>
          <c:order val="1"/>
          <c:tx>
            <c:strRef>
              <c:f>Sheet3!$C$17</c:f>
              <c:strCache>
                <c:ptCount val="1"/>
                <c:pt idx="0">
                  <c:v>Belgique</c:v>
                </c:pt>
              </c:strCache>
            </c:strRef>
          </c:tx>
          <c:marker>
            <c:symbol val="none"/>
          </c:marker>
          <c:cat>
            <c:strRef>
              <c:f>Sheet3!$A$18:$A$22</c:f>
              <c:strCache>
                <c:ptCount val="5"/>
                <c:pt idx="0">
                  <c:v>2007-2008</c:v>
                </c:pt>
                <c:pt idx="1">
                  <c:v>2008-2009</c:v>
                </c:pt>
                <c:pt idx="2">
                  <c:v>2009-2010</c:v>
                </c:pt>
                <c:pt idx="3">
                  <c:v>2010-2011</c:v>
                </c:pt>
                <c:pt idx="4">
                  <c:v>2011-2012</c:v>
                </c:pt>
              </c:strCache>
            </c:strRef>
          </c:cat>
          <c:val>
            <c:numRef>
              <c:f>Sheet3!$C$18:$C$22</c:f>
              <c:numCache>
                <c:formatCode>General</c:formatCode>
                <c:ptCount val="5"/>
                <c:pt idx="0">
                  <c:v>22</c:v>
                </c:pt>
                <c:pt idx="1">
                  <c:v>21</c:v>
                </c:pt>
                <c:pt idx="2">
                  <c:v>18</c:v>
                </c:pt>
                <c:pt idx="3">
                  <c:v>17</c:v>
                </c:pt>
                <c:pt idx="4">
                  <c:v>15</c:v>
                </c:pt>
              </c:numCache>
            </c:numRef>
          </c:val>
        </c:ser>
        <c:ser>
          <c:idx val="2"/>
          <c:order val="2"/>
          <c:tx>
            <c:strRef>
              <c:f>Sheet3!$D$17</c:f>
              <c:strCache>
                <c:ptCount val="1"/>
                <c:pt idx="0">
                  <c:v>Luxembourg</c:v>
                </c:pt>
              </c:strCache>
            </c:strRef>
          </c:tx>
          <c:spPr>
            <a:ln>
              <a:solidFill>
                <a:srgbClr val="FF0000"/>
              </a:solidFill>
            </a:ln>
          </c:spPr>
          <c:marker>
            <c:symbol val="circle"/>
            <c:size val="5"/>
            <c:spPr>
              <a:solidFill>
                <a:schemeClr val="accent4">
                  <a:lumMod val="75000"/>
                </a:schemeClr>
              </a:solidFill>
            </c:spPr>
          </c:marker>
          <c:cat>
            <c:strRef>
              <c:f>Sheet3!$A$18:$A$22</c:f>
              <c:strCache>
                <c:ptCount val="5"/>
                <c:pt idx="0">
                  <c:v>2007-2008</c:v>
                </c:pt>
                <c:pt idx="1">
                  <c:v>2008-2009</c:v>
                </c:pt>
                <c:pt idx="2">
                  <c:v>2009-2010</c:v>
                </c:pt>
                <c:pt idx="3">
                  <c:v>2010-2011</c:v>
                </c:pt>
                <c:pt idx="4">
                  <c:v>2011-2012</c:v>
                </c:pt>
              </c:strCache>
            </c:strRef>
          </c:cat>
          <c:val>
            <c:numRef>
              <c:f>Sheet3!$D$18:$D$22</c:f>
              <c:numCache>
                <c:formatCode>General</c:formatCode>
                <c:ptCount val="5"/>
                <c:pt idx="0">
                  <c:v>25</c:v>
                </c:pt>
                <c:pt idx="1">
                  <c:v>27</c:v>
                </c:pt>
                <c:pt idx="2">
                  <c:v>23</c:v>
                </c:pt>
                <c:pt idx="3">
                  <c:v>20</c:v>
                </c:pt>
                <c:pt idx="4">
                  <c:v>23</c:v>
                </c:pt>
              </c:numCache>
            </c:numRef>
          </c:val>
        </c:ser>
        <c:ser>
          <c:idx val="3"/>
          <c:order val="3"/>
          <c:tx>
            <c:strRef>
              <c:f>Sheet3!$E$17</c:f>
              <c:strCache>
                <c:ptCount val="1"/>
                <c:pt idx="0">
                  <c:v>Allemagne</c:v>
                </c:pt>
              </c:strCache>
            </c:strRef>
          </c:tx>
          <c:marker>
            <c:symbol val="none"/>
          </c:marker>
          <c:cat>
            <c:strRef>
              <c:f>Sheet3!$A$18:$A$22</c:f>
              <c:strCache>
                <c:ptCount val="5"/>
                <c:pt idx="0">
                  <c:v>2007-2008</c:v>
                </c:pt>
                <c:pt idx="1">
                  <c:v>2008-2009</c:v>
                </c:pt>
                <c:pt idx="2">
                  <c:v>2009-2010</c:v>
                </c:pt>
                <c:pt idx="3">
                  <c:v>2010-2011</c:v>
                </c:pt>
                <c:pt idx="4">
                  <c:v>2011-2012</c:v>
                </c:pt>
              </c:strCache>
            </c:strRef>
          </c:cat>
          <c:val>
            <c:numRef>
              <c:f>Sheet3!$E$18:$E$22</c:f>
              <c:numCache>
                <c:formatCode>General</c:formatCode>
                <c:ptCount val="5"/>
                <c:pt idx="0">
                  <c:v>11</c:v>
                </c:pt>
                <c:pt idx="1">
                  <c:v>11</c:v>
                </c:pt>
                <c:pt idx="2">
                  <c:v>14</c:v>
                </c:pt>
                <c:pt idx="3">
                  <c:v>13</c:v>
                </c:pt>
                <c:pt idx="4">
                  <c:v>13</c:v>
                </c:pt>
              </c:numCache>
            </c:numRef>
          </c:val>
        </c:ser>
        <c:ser>
          <c:idx val="4"/>
          <c:order val="4"/>
          <c:tx>
            <c:strRef>
              <c:f>Sheet3!$F$17</c:f>
              <c:strCache>
                <c:ptCount val="1"/>
                <c:pt idx="0">
                  <c:v>Royaume-Uni</c:v>
                </c:pt>
              </c:strCache>
            </c:strRef>
          </c:tx>
          <c:marker>
            <c:symbol val="none"/>
          </c:marker>
          <c:cat>
            <c:strRef>
              <c:f>Sheet3!$A$18:$A$22</c:f>
              <c:strCache>
                <c:ptCount val="5"/>
                <c:pt idx="0">
                  <c:v>2007-2008</c:v>
                </c:pt>
                <c:pt idx="1">
                  <c:v>2008-2009</c:v>
                </c:pt>
                <c:pt idx="2">
                  <c:v>2009-2010</c:v>
                </c:pt>
                <c:pt idx="3">
                  <c:v>2010-2011</c:v>
                </c:pt>
                <c:pt idx="4">
                  <c:v>2011-2012</c:v>
                </c:pt>
              </c:strCache>
            </c:strRef>
          </c:cat>
          <c:val>
            <c:numRef>
              <c:f>Sheet3!$F$18:$F$22</c:f>
              <c:numCache>
                <c:formatCode>General</c:formatCode>
                <c:ptCount val="5"/>
                <c:pt idx="0">
                  <c:v>2</c:v>
                </c:pt>
                <c:pt idx="1">
                  <c:v>4</c:v>
                </c:pt>
                <c:pt idx="2">
                  <c:v>8</c:v>
                </c:pt>
                <c:pt idx="3">
                  <c:v>7</c:v>
                </c:pt>
                <c:pt idx="4">
                  <c:v>5</c:v>
                </c:pt>
              </c:numCache>
            </c:numRef>
          </c:val>
        </c:ser>
        <c:ser>
          <c:idx val="5"/>
          <c:order val="5"/>
          <c:tx>
            <c:strRef>
              <c:f>Sheet3!$G$17</c:f>
              <c:strCache>
                <c:ptCount val="1"/>
                <c:pt idx="0">
                  <c:v>France</c:v>
                </c:pt>
              </c:strCache>
            </c:strRef>
          </c:tx>
          <c:marker>
            <c:symbol val="none"/>
          </c:marker>
          <c:cat>
            <c:strRef>
              <c:f>Sheet3!$A$18:$A$22</c:f>
              <c:strCache>
                <c:ptCount val="5"/>
                <c:pt idx="0">
                  <c:v>2007-2008</c:v>
                </c:pt>
                <c:pt idx="1">
                  <c:v>2008-2009</c:v>
                </c:pt>
                <c:pt idx="2">
                  <c:v>2009-2010</c:v>
                </c:pt>
                <c:pt idx="3">
                  <c:v>2010-2011</c:v>
                </c:pt>
                <c:pt idx="4">
                  <c:v>2011-2012</c:v>
                </c:pt>
              </c:strCache>
            </c:strRef>
          </c:cat>
          <c:val>
            <c:numRef>
              <c:f>Sheet3!$G$18:$G$22</c:f>
              <c:numCache>
                <c:formatCode>General</c:formatCode>
                <c:ptCount val="5"/>
                <c:pt idx="0">
                  <c:v>20</c:v>
                </c:pt>
                <c:pt idx="1">
                  <c:v>16</c:v>
                </c:pt>
                <c:pt idx="2">
                  <c:v>16</c:v>
                </c:pt>
                <c:pt idx="3">
                  <c:v>15</c:v>
                </c:pt>
                <c:pt idx="4">
                  <c:v>17</c:v>
                </c:pt>
              </c:numCache>
            </c:numRef>
          </c:val>
        </c:ser>
        <c:ser>
          <c:idx val="6"/>
          <c:order val="6"/>
          <c:tx>
            <c:strRef>
              <c:f>Sheet3!$H$17</c:f>
              <c:strCache>
                <c:ptCount val="1"/>
                <c:pt idx="0">
                  <c:v>Irlande</c:v>
                </c:pt>
              </c:strCache>
            </c:strRef>
          </c:tx>
          <c:marker>
            <c:symbol val="none"/>
          </c:marker>
          <c:cat>
            <c:strRef>
              <c:f>Sheet3!$A$18:$A$22</c:f>
              <c:strCache>
                <c:ptCount val="5"/>
                <c:pt idx="0">
                  <c:v>2007-2008</c:v>
                </c:pt>
                <c:pt idx="1">
                  <c:v>2008-2009</c:v>
                </c:pt>
                <c:pt idx="2">
                  <c:v>2009-2010</c:v>
                </c:pt>
                <c:pt idx="3">
                  <c:v>2010-2011</c:v>
                </c:pt>
                <c:pt idx="4">
                  <c:v>2011-2012</c:v>
                </c:pt>
              </c:strCache>
            </c:strRef>
          </c:cat>
          <c:val>
            <c:numRef>
              <c:f>Sheet3!$H$18:$H$22</c:f>
              <c:numCache>
                <c:formatCode>General</c:formatCode>
                <c:ptCount val="5"/>
                <c:pt idx="0">
                  <c:v>19</c:v>
                </c:pt>
                <c:pt idx="1">
                  <c:v>19</c:v>
                </c:pt>
                <c:pt idx="2">
                  <c:v>22</c:v>
                </c:pt>
                <c:pt idx="3">
                  <c:v>25</c:v>
                </c:pt>
                <c:pt idx="4">
                  <c:v>28</c:v>
                </c:pt>
              </c:numCache>
            </c:numRef>
          </c:val>
        </c:ser>
        <c:marker val="1"/>
        <c:axId val="64171008"/>
        <c:axId val="64180992"/>
      </c:lineChart>
      <c:catAx>
        <c:axId val="64171008"/>
        <c:scaling>
          <c:orientation val="minMax"/>
        </c:scaling>
        <c:axPos val="t"/>
        <c:majorTickMark val="none"/>
        <c:tickLblPos val="nextTo"/>
        <c:crossAx val="64180992"/>
        <c:crosses val="autoZero"/>
        <c:auto val="1"/>
        <c:lblAlgn val="ctr"/>
        <c:lblOffset val="100"/>
      </c:catAx>
      <c:valAx>
        <c:axId val="64180992"/>
        <c:scaling>
          <c:orientation val="maxMin"/>
        </c:scaling>
        <c:axPos val="l"/>
        <c:majorGridlines/>
        <c:numFmt formatCode="General" sourceLinked="1"/>
        <c:majorTickMark val="none"/>
        <c:tickLblPos val="nextTo"/>
        <c:crossAx val="64171008"/>
        <c:crosses val="autoZero"/>
        <c:crossBetween val="between"/>
      </c:valAx>
      <c:spPr>
        <a:solidFill>
          <a:schemeClr val="bg2"/>
        </a:solidFill>
        <a:effectLst>
          <a:innerShdw blurRad="63500" dist="50800" dir="16200000">
            <a:prstClr val="black">
              <a:alpha val="50000"/>
            </a:prstClr>
          </a:innerShdw>
        </a:effectLst>
      </c:spPr>
    </c:plotArea>
    <c:legend>
      <c:legendPos val="r"/>
    </c:legend>
    <c:plotVisOnly val="1"/>
  </c:chart>
  <c:spPr>
    <a:solidFill>
      <a:schemeClr val="accent6">
        <a:lumMod val="20000"/>
        <a:lumOff val="80000"/>
      </a:schemeClr>
    </a:solidFill>
    <a:scene3d>
      <a:camera prst="orthographicFront"/>
      <a:lightRig rig="threePt" dir="t"/>
    </a:scene3d>
    <a:sp3d>
      <a:bevelT prst="convex"/>
    </a:sp3d>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Sheet3!$B$34</c:f>
              <c:strCache>
                <c:ptCount val="1"/>
                <c:pt idx="0">
                  <c:v>Suisse</c:v>
                </c:pt>
              </c:strCache>
            </c:strRef>
          </c:tx>
          <c:marker>
            <c:symbol val="none"/>
          </c:marker>
          <c:cat>
            <c:strRef>
              <c:f>Sheet3!$A$35:$A$39</c:f>
              <c:strCache>
                <c:ptCount val="5"/>
                <c:pt idx="0">
                  <c:v>2007-2008</c:v>
                </c:pt>
                <c:pt idx="1">
                  <c:v>2008-2009</c:v>
                </c:pt>
                <c:pt idx="2">
                  <c:v>2009-2010</c:v>
                </c:pt>
                <c:pt idx="3">
                  <c:v>2010-2011</c:v>
                </c:pt>
                <c:pt idx="4">
                  <c:v>2011-2012</c:v>
                </c:pt>
              </c:strCache>
            </c:strRef>
          </c:cat>
          <c:val>
            <c:numRef>
              <c:f>Sheet3!$B$35:$B$39</c:f>
              <c:numCache>
                <c:formatCode>General</c:formatCode>
                <c:ptCount val="5"/>
                <c:pt idx="0">
                  <c:v>1</c:v>
                </c:pt>
                <c:pt idx="1">
                  <c:v>2</c:v>
                </c:pt>
                <c:pt idx="2">
                  <c:v>3</c:v>
                </c:pt>
                <c:pt idx="3">
                  <c:v>2</c:v>
                </c:pt>
                <c:pt idx="4">
                  <c:v>1</c:v>
                </c:pt>
              </c:numCache>
            </c:numRef>
          </c:val>
        </c:ser>
        <c:ser>
          <c:idx val="1"/>
          <c:order val="1"/>
          <c:tx>
            <c:strRef>
              <c:f>Sheet3!$C$34</c:f>
              <c:strCache>
                <c:ptCount val="1"/>
                <c:pt idx="0">
                  <c:v>Belgique</c:v>
                </c:pt>
              </c:strCache>
            </c:strRef>
          </c:tx>
          <c:marker>
            <c:symbol val="none"/>
          </c:marker>
          <c:cat>
            <c:strRef>
              <c:f>Sheet3!$A$35:$A$39</c:f>
              <c:strCache>
                <c:ptCount val="5"/>
                <c:pt idx="0">
                  <c:v>2007-2008</c:v>
                </c:pt>
                <c:pt idx="1">
                  <c:v>2008-2009</c:v>
                </c:pt>
                <c:pt idx="2">
                  <c:v>2009-2010</c:v>
                </c:pt>
                <c:pt idx="3">
                  <c:v>2010-2011</c:v>
                </c:pt>
                <c:pt idx="4">
                  <c:v>2011-2012</c:v>
                </c:pt>
              </c:strCache>
            </c:strRef>
          </c:cat>
          <c:val>
            <c:numRef>
              <c:f>Sheet3!$C$35:$C$39</c:f>
              <c:numCache>
                <c:formatCode>General</c:formatCode>
                <c:ptCount val="5"/>
                <c:pt idx="0">
                  <c:v>15</c:v>
                </c:pt>
                <c:pt idx="1">
                  <c:v>15</c:v>
                </c:pt>
                <c:pt idx="2">
                  <c:v>13</c:v>
                </c:pt>
                <c:pt idx="3">
                  <c:v>15</c:v>
                </c:pt>
                <c:pt idx="4">
                  <c:v>14</c:v>
                </c:pt>
              </c:numCache>
            </c:numRef>
          </c:val>
        </c:ser>
        <c:ser>
          <c:idx val="2"/>
          <c:order val="2"/>
          <c:tx>
            <c:strRef>
              <c:f>Sheet3!$D$34</c:f>
              <c:strCache>
                <c:ptCount val="1"/>
                <c:pt idx="0">
                  <c:v>Luxembourg</c:v>
                </c:pt>
              </c:strCache>
            </c:strRef>
          </c:tx>
          <c:spPr>
            <a:ln>
              <a:solidFill>
                <a:srgbClr val="FF0000"/>
              </a:solidFill>
            </a:ln>
          </c:spPr>
          <c:marker>
            <c:symbol val="circle"/>
            <c:size val="5"/>
            <c:spPr>
              <a:solidFill>
                <a:srgbClr val="8064A2">
                  <a:lumMod val="75000"/>
                </a:srgbClr>
              </a:solidFill>
            </c:spPr>
          </c:marker>
          <c:cat>
            <c:strRef>
              <c:f>Sheet3!$A$35:$A$39</c:f>
              <c:strCache>
                <c:ptCount val="5"/>
                <c:pt idx="0">
                  <c:v>2007-2008</c:v>
                </c:pt>
                <c:pt idx="1">
                  <c:v>2008-2009</c:v>
                </c:pt>
                <c:pt idx="2">
                  <c:v>2009-2010</c:v>
                </c:pt>
                <c:pt idx="3">
                  <c:v>2010-2011</c:v>
                </c:pt>
                <c:pt idx="4">
                  <c:v>2011-2012</c:v>
                </c:pt>
              </c:strCache>
            </c:strRef>
          </c:cat>
          <c:val>
            <c:numRef>
              <c:f>Sheet3!$D$35:$D$39</c:f>
              <c:numCache>
                <c:formatCode>General</c:formatCode>
                <c:ptCount val="5"/>
                <c:pt idx="0">
                  <c:v>24</c:v>
                </c:pt>
                <c:pt idx="1">
                  <c:v>24</c:v>
                </c:pt>
                <c:pt idx="2">
                  <c:v>22</c:v>
                </c:pt>
                <c:pt idx="3">
                  <c:v>19</c:v>
                </c:pt>
                <c:pt idx="4">
                  <c:v>20</c:v>
                </c:pt>
              </c:numCache>
            </c:numRef>
          </c:val>
        </c:ser>
        <c:ser>
          <c:idx val="3"/>
          <c:order val="3"/>
          <c:tx>
            <c:strRef>
              <c:f>Sheet3!$E$34</c:f>
              <c:strCache>
                <c:ptCount val="1"/>
                <c:pt idx="0">
                  <c:v>Allemagne</c:v>
                </c:pt>
              </c:strCache>
            </c:strRef>
          </c:tx>
          <c:marker>
            <c:symbol val="none"/>
          </c:marker>
          <c:cat>
            <c:strRef>
              <c:f>Sheet3!$A$35:$A$39</c:f>
              <c:strCache>
                <c:ptCount val="5"/>
                <c:pt idx="0">
                  <c:v>2007-2008</c:v>
                </c:pt>
                <c:pt idx="1">
                  <c:v>2008-2009</c:v>
                </c:pt>
                <c:pt idx="2">
                  <c:v>2009-2010</c:v>
                </c:pt>
                <c:pt idx="3">
                  <c:v>2010-2011</c:v>
                </c:pt>
                <c:pt idx="4">
                  <c:v>2011-2012</c:v>
                </c:pt>
              </c:strCache>
            </c:strRef>
          </c:cat>
          <c:val>
            <c:numRef>
              <c:f>Sheet3!$E$35:$E$39</c:f>
              <c:numCache>
                <c:formatCode>General</c:formatCode>
                <c:ptCount val="5"/>
                <c:pt idx="0">
                  <c:v>3</c:v>
                </c:pt>
                <c:pt idx="1">
                  <c:v>4</c:v>
                </c:pt>
                <c:pt idx="2">
                  <c:v>5</c:v>
                </c:pt>
                <c:pt idx="3">
                  <c:v>5</c:v>
                </c:pt>
                <c:pt idx="4">
                  <c:v>5</c:v>
                </c:pt>
              </c:numCache>
            </c:numRef>
          </c:val>
        </c:ser>
        <c:ser>
          <c:idx val="4"/>
          <c:order val="4"/>
          <c:tx>
            <c:strRef>
              <c:f>Sheet3!$F$34</c:f>
              <c:strCache>
                <c:ptCount val="1"/>
                <c:pt idx="0">
                  <c:v>Royaume-Uni</c:v>
                </c:pt>
              </c:strCache>
            </c:strRef>
          </c:tx>
          <c:marker>
            <c:symbol val="none"/>
          </c:marker>
          <c:cat>
            <c:strRef>
              <c:f>Sheet3!$A$35:$A$39</c:f>
              <c:strCache>
                <c:ptCount val="5"/>
                <c:pt idx="0">
                  <c:v>2007-2008</c:v>
                </c:pt>
                <c:pt idx="1">
                  <c:v>2008-2009</c:v>
                </c:pt>
                <c:pt idx="2">
                  <c:v>2009-2010</c:v>
                </c:pt>
                <c:pt idx="3">
                  <c:v>2010-2011</c:v>
                </c:pt>
                <c:pt idx="4">
                  <c:v>2011-2012</c:v>
                </c:pt>
              </c:strCache>
            </c:strRef>
          </c:cat>
          <c:val>
            <c:numRef>
              <c:f>Sheet3!$F$35:$F$39</c:f>
              <c:numCache>
                <c:formatCode>General</c:formatCode>
                <c:ptCount val="5"/>
                <c:pt idx="0">
                  <c:v>14</c:v>
                </c:pt>
                <c:pt idx="1">
                  <c:v>17</c:v>
                </c:pt>
                <c:pt idx="2">
                  <c:v>14</c:v>
                </c:pt>
                <c:pt idx="3">
                  <c:v>12</c:v>
                </c:pt>
                <c:pt idx="4">
                  <c:v>12</c:v>
                </c:pt>
              </c:numCache>
            </c:numRef>
          </c:val>
        </c:ser>
        <c:ser>
          <c:idx val="5"/>
          <c:order val="5"/>
          <c:tx>
            <c:strRef>
              <c:f>Sheet3!$G$34</c:f>
              <c:strCache>
                <c:ptCount val="1"/>
                <c:pt idx="0">
                  <c:v>France</c:v>
                </c:pt>
              </c:strCache>
            </c:strRef>
          </c:tx>
          <c:marker>
            <c:symbol val="none"/>
          </c:marker>
          <c:cat>
            <c:strRef>
              <c:f>Sheet3!$A$35:$A$39</c:f>
              <c:strCache>
                <c:ptCount val="5"/>
                <c:pt idx="0">
                  <c:v>2007-2008</c:v>
                </c:pt>
                <c:pt idx="1">
                  <c:v>2008-2009</c:v>
                </c:pt>
                <c:pt idx="2">
                  <c:v>2009-2010</c:v>
                </c:pt>
                <c:pt idx="3">
                  <c:v>2010-2011</c:v>
                </c:pt>
                <c:pt idx="4">
                  <c:v>2011-2012</c:v>
                </c:pt>
              </c:strCache>
            </c:strRef>
          </c:cat>
          <c:val>
            <c:numRef>
              <c:f>Sheet3!$G$35:$G$39</c:f>
              <c:numCache>
                <c:formatCode>General</c:formatCode>
                <c:ptCount val="5"/>
                <c:pt idx="0">
                  <c:v>16</c:v>
                </c:pt>
                <c:pt idx="1">
                  <c:v>14</c:v>
                </c:pt>
                <c:pt idx="2">
                  <c:v>15</c:v>
                </c:pt>
                <c:pt idx="3">
                  <c:v>16</c:v>
                </c:pt>
                <c:pt idx="4">
                  <c:v>17</c:v>
                </c:pt>
              </c:numCache>
            </c:numRef>
          </c:val>
        </c:ser>
        <c:ser>
          <c:idx val="6"/>
          <c:order val="6"/>
          <c:tx>
            <c:strRef>
              <c:f>Sheet3!$H$34</c:f>
              <c:strCache>
                <c:ptCount val="1"/>
                <c:pt idx="0">
                  <c:v>Irlande</c:v>
                </c:pt>
              </c:strCache>
            </c:strRef>
          </c:tx>
          <c:marker>
            <c:symbol val="none"/>
          </c:marker>
          <c:cat>
            <c:strRef>
              <c:f>Sheet3!$A$35:$A$39</c:f>
              <c:strCache>
                <c:ptCount val="5"/>
                <c:pt idx="0">
                  <c:v>2007-2008</c:v>
                </c:pt>
                <c:pt idx="1">
                  <c:v>2008-2009</c:v>
                </c:pt>
                <c:pt idx="2">
                  <c:v>2009-2010</c:v>
                </c:pt>
                <c:pt idx="3">
                  <c:v>2010-2011</c:v>
                </c:pt>
                <c:pt idx="4">
                  <c:v>2011-2012</c:v>
                </c:pt>
              </c:strCache>
            </c:strRef>
          </c:cat>
          <c:val>
            <c:numRef>
              <c:f>Sheet3!$H$35:$H$39</c:f>
              <c:numCache>
                <c:formatCode>General</c:formatCode>
                <c:ptCount val="5"/>
                <c:pt idx="0">
                  <c:v>22</c:v>
                </c:pt>
                <c:pt idx="1">
                  <c:v>20</c:v>
                </c:pt>
                <c:pt idx="2">
                  <c:v>20</c:v>
                </c:pt>
                <c:pt idx="3">
                  <c:v>21</c:v>
                </c:pt>
                <c:pt idx="4">
                  <c:v>23</c:v>
                </c:pt>
              </c:numCache>
            </c:numRef>
          </c:val>
        </c:ser>
        <c:marker val="1"/>
        <c:axId val="64213760"/>
        <c:axId val="64215296"/>
      </c:lineChart>
      <c:catAx>
        <c:axId val="64213760"/>
        <c:scaling>
          <c:orientation val="minMax"/>
        </c:scaling>
        <c:axPos val="t"/>
        <c:majorTickMark val="none"/>
        <c:tickLblPos val="nextTo"/>
        <c:crossAx val="64215296"/>
        <c:crosses val="autoZero"/>
        <c:auto val="1"/>
        <c:lblAlgn val="ctr"/>
        <c:lblOffset val="100"/>
      </c:catAx>
      <c:valAx>
        <c:axId val="64215296"/>
        <c:scaling>
          <c:orientation val="maxMin"/>
        </c:scaling>
        <c:axPos val="l"/>
        <c:majorGridlines/>
        <c:numFmt formatCode="General" sourceLinked="1"/>
        <c:majorTickMark val="none"/>
        <c:tickLblPos val="nextTo"/>
        <c:crossAx val="64213760"/>
        <c:crosses val="autoZero"/>
        <c:crossBetween val="between"/>
      </c:valAx>
      <c:spPr>
        <a:solidFill>
          <a:schemeClr val="bg2"/>
        </a:solidFill>
      </c:spPr>
    </c:plotArea>
    <c:legend>
      <c:legendPos val="r"/>
    </c:legend>
    <c:plotVisOnly val="1"/>
  </c:chart>
  <c:spPr>
    <a:solidFill>
      <a:schemeClr val="accent6">
        <a:lumMod val="20000"/>
        <a:lumOff val="80000"/>
      </a:schemeClr>
    </a:solidFill>
    <a:scene3d>
      <a:camera prst="orthographicFront"/>
      <a:lightRig rig="threePt" dir="t"/>
    </a:scene3d>
    <a:sp3d>
      <a:bevelT prst="convex"/>
    </a:sp3d>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ED64-8D87-4142-AEBB-B2153C08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@ut : Global Competitiveness Report 2007-2008</vt:lpstr>
    </vt:vector>
  </TitlesOfParts>
  <Company>Chambre de Commerce</Company>
  <LinksUpToDate>false</LinksUpToDate>
  <CharactersWithSpaces>13377</CharactersWithSpaces>
  <SharedDoc>false</SharedDoc>
  <HLinks>
    <vt:vector size="6" baseType="variant">
      <vt:variant>
        <vt:i4>5242982</vt:i4>
      </vt:variant>
      <vt:variant>
        <vt:i4>0</vt:i4>
      </vt:variant>
      <vt:variant>
        <vt:i4>0</vt:i4>
      </vt:variant>
      <vt:variant>
        <vt:i4>5</vt:i4>
      </vt:variant>
      <vt:variant>
        <vt:lpwstr>mailto:eco@cc.lu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 Global Competitiveness Report 2007-2008</dc:title>
  <dc:creator>cph</dc:creator>
  <cp:lastModifiedBy>Marie-Hélène Trouillez</cp:lastModifiedBy>
  <cp:revision>2</cp:revision>
  <cp:lastPrinted>2011-09-07T13:08:00Z</cp:lastPrinted>
  <dcterms:created xsi:type="dcterms:W3CDTF">2011-09-12T13:12:00Z</dcterms:created>
  <dcterms:modified xsi:type="dcterms:W3CDTF">2011-09-12T13:12:00Z</dcterms:modified>
</cp:coreProperties>
</file>