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4B" w:rsidRDefault="0058777F">
      <w:pPr>
        <w:rPr>
          <w:b/>
          <w:lang w:val="fr-FR"/>
        </w:rPr>
      </w:pPr>
      <w:r w:rsidRPr="00BB1B93">
        <w:rPr>
          <w:b/>
          <w:lang w:val="fr-FR"/>
        </w:rPr>
        <w:t xml:space="preserve">Programme de stabilité </w:t>
      </w:r>
      <w:r w:rsidR="00F61A70" w:rsidRPr="00BB1B93">
        <w:rPr>
          <w:b/>
          <w:lang w:val="fr-FR"/>
        </w:rPr>
        <w:t>et de croissance du Luxembourg pour 2013-2016</w:t>
      </w:r>
      <w:r w:rsidR="000034F8">
        <w:rPr>
          <w:b/>
          <w:lang w:val="fr-FR"/>
        </w:rPr>
        <w:t> : manque d’ambition et de réalisme</w:t>
      </w:r>
    </w:p>
    <w:p w:rsidR="000034F8" w:rsidRPr="00BB1B93" w:rsidRDefault="000034F8">
      <w:pPr>
        <w:rPr>
          <w:b/>
          <w:lang w:val="fr-FR"/>
        </w:rPr>
      </w:pPr>
      <w:r>
        <w:rPr>
          <w:b/>
          <w:lang w:val="fr-FR"/>
        </w:rPr>
        <w:t>Annexe à la présentation du 24 mai 2013</w:t>
      </w:r>
    </w:p>
    <w:p w:rsidR="000B7CB0" w:rsidRPr="00BB1B93" w:rsidRDefault="0058777F" w:rsidP="000B7CB0">
      <w:pPr>
        <w:jc w:val="both"/>
        <w:rPr>
          <w:lang w:val="fr-FR"/>
        </w:rPr>
      </w:pPr>
      <w:r w:rsidRPr="00BB1B93">
        <w:rPr>
          <w:lang w:val="fr-FR"/>
        </w:rPr>
        <w:t xml:space="preserve">Dans le cadre </w:t>
      </w:r>
      <w:r w:rsidR="00F61A70" w:rsidRPr="00BB1B93">
        <w:rPr>
          <w:lang w:val="fr-FR"/>
        </w:rPr>
        <w:t>de la période de coordination des politiques économiques et budgétaires des Etats membres (s</w:t>
      </w:r>
      <w:r w:rsidRPr="00BB1B93">
        <w:rPr>
          <w:lang w:val="fr-FR"/>
        </w:rPr>
        <w:t>emestre européen</w:t>
      </w:r>
      <w:r w:rsidR="00F61A70" w:rsidRPr="00BB1B93">
        <w:rPr>
          <w:lang w:val="fr-FR"/>
        </w:rPr>
        <w:t>)</w:t>
      </w:r>
      <w:r w:rsidRPr="00BB1B93">
        <w:rPr>
          <w:lang w:val="fr-FR"/>
        </w:rPr>
        <w:t xml:space="preserve">, </w:t>
      </w:r>
      <w:r w:rsidR="008E3DB4" w:rsidRPr="00BB1B93">
        <w:rPr>
          <w:lang w:val="fr-FR"/>
        </w:rPr>
        <w:t xml:space="preserve">le gouvernement luxembourgeois a présenté le 24 </w:t>
      </w:r>
      <w:r w:rsidR="00112E1D" w:rsidRPr="00BB1B93">
        <w:rPr>
          <w:lang w:val="fr-FR"/>
        </w:rPr>
        <w:t>avril</w:t>
      </w:r>
      <w:r w:rsidR="008E3DB4" w:rsidRPr="00BB1B93">
        <w:rPr>
          <w:lang w:val="fr-FR"/>
        </w:rPr>
        <w:t xml:space="preserve"> </w:t>
      </w:r>
      <w:r w:rsidR="00F61A70" w:rsidRPr="00BB1B93">
        <w:rPr>
          <w:lang w:val="fr-FR"/>
        </w:rPr>
        <w:t>son</w:t>
      </w:r>
      <w:r w:rsidR="008E3DB4" w:rsidRPr="00BB1B93">
        <w:rPr>
          <w:lang w:val="fr-FR"/>
        </w:rPr>
        <w:t xml:space="preserve"> </w:t>
      </w:r>
      <w:r w:rsidR="00F61A70" w:rsidRPr="00BB1B93">
        <w:rPr>
          <w:lang w:val="fr-FR"/>
        </w:rPr>
        <w:t>« </w:t>
      </w:r>
      <w:r w:rsidR="008E3DB4" w:rsidRPr="00BB1B93">
        <w:rPr>
          <w:lang w:val="fr-FR"/>
        </w:rPr>
        <w:t>programme de stabilité</w:t>
      </w:r>
      <w:r w:rsidR="00F61A70" w:rsidRPr="00BB1B93">
        <w:rPr>
          <w:lang w:val="fr-FR"/>
        </w:rPr>
        <w:t> </w:t>
      </w:r>
      <w:r w:rsidR="00A559C0">
        <w:rPr>
          <w:lang w:val="fr-FR"/>
        </w:rPr>
        <w:t>et de croissance</w:t>
      </w:r>
      <w:r w:rsidR="00F61A70" w:rsidRPr="00BB1B93">
        <w:rPr>
          <w:lang w:val="fr-FR"/>
        </w:rPr>
        <w:t>»</w:t>
      </w:r>
      <w:r w:rsidR="008E3DB4" w:rsidRPr="00BB1B93">
        <w:rPr>
          <w:lang w:val="fr-FR"/>
        </w:rPr>
        <w:t xml:space="preserve">. </w:t>
      </w:r>
      <w:r w:rsidR="000B7CB0" w:rsidRPr="00BB1B93">
        <w:rPr>
          <w:lang w:val="fr-FR"/>
        </w:rPr>
        <w:t>Ce document livre, s</w:t>
      </w:r>
      <w:r w:rsidR="00F61A70" w:rsidRPr="00BB1B93">
        <w:rPr>
          <w:lang w:val="fr-FR"/>
        </w:rPr>
        <w:t>ur</w:t>
      </w:r>
      <w:r w:rsidR="000B7CB0" w:rsidRPr="00BB1B93">
        <w:rPr>
          <w:lang w:val="fr-FR"/>
        </w:rPr>
        <w:t xml:space="preserve"> la base d’un ensemble d’hypothèses, la trajectoire des finances publiques </w:t>
      </w:r>
      <w:r w:rsidR="00A559C0">
        <w:rPr>
          <w:lang w:val="fr-FR"/>
        </w:rPr>
        <w:t>pour</w:t>
      </w:r>
      <w:r w:rsidR="000B7CB0" w:rsidRPr="00BB1B93">
        <w:rPr>
          <w:lang w:val="fr-FR"/>
        </w:rPr>
        <w:t xml:space="preserve"> la période</w:t>
      </w:r>
      <w:r w:rsidR="00F61A70" w:rsidRPr="00BB1B93">
        <w:rPr>
          <w:lang w:val="fr-FR"/>
        </w:rPr>
        <w:t xml:space="preserve"> 2013-2016</w:t>
      </w:r>
      <w:r w:rsidR="000B7CB0" w:rsidRPr="00BB1B93">
        <w:rPr>
          <w:lang w:val="fr-FR"/>
        </w:rPr>
        <w:t>.</w:t>
      </w:r>
      <w:r w:rsidR="00112E1D" w:rsidRPr="00BB1B93">
        <w:rPr>
          <w:lang w:val="fr-FR"/>
        </w:rPr>
        <w:t xml:space="preserve"> La </w:t>
      </w:r>
      <w:r w:rsidR="000034F8">
        <w:rPr>
          <w:lang w:val="fr-FR"/>
        </w:rPr>
        <w:t>C</w:t>
      </w:r>
      <w:r w:rsidR="00112E1D" w:rsidRPr="00BB1B93">
        <w:rPr>
          <w:lang w:val="fr-FR"/>
        </w:rPr>
        <w:t xml:space="preserve">ommission </w:t>
      </w:r>
      <w:r w:rsidR="000034F8">
        <w:rPr>
          <w:lang w:val="fr-FR"/>
        </w:rPr>
        <w:t>E</w:t>
      </w:r>
      <w:r w:rsidR="00112E1D" w:rsidRPr="00BB1B93">
        <w:rPr>
          <w:lang w:val="fr-FR"/>
        </w:rPr>
        <w:t xml:space="preserve">uropéenne </w:t>
      </w:r>
      <w:r w:rsidR="0092763A" w:rsidRPr="00BB1B93">
        <w:rPr>
          <w:lang w:val="fr-FR"/>
        </w:rPr>
        <w:t>fera connaî</w:t>
      </w:r>
      <w:r w:rsidR="00112E1D" w:rsidRPr="00BB1B93">
        <w:rPr>
          <w:lang w:val="fr-FR"/>
        </w:rPr>
        <w:t>tre s</w:t>
      </w:r>
      <w:r w:rsidR="001952DB" w:rsidRPr="00BB1B93">
        <w:rPr>
          <w:lang w:val="fr-FR"/>
        </w:rPr>
        <w:t xml:space="preserve">on projet de </w:t>
      </w:r>
      <w:r w:rsidR="00112E1D" w:rsidRPr="00BB1B93">
        <w:rPr>
          <w:lang w:val="fr-FR"/>
        </w:rPr>
        <w:t>recommandations concernant ce programme de stabilité le 29 mai prochain.</w:t>
      </w:r>
      <w:r w:rsidR="00014367" w:rsidRPr="00BB1B93">
        <w:rPr>
          <w:lang w:val="fr-FR"/>
        </w:rPr>
        <w:t xml:space="preserve"> Par la suite, le Conseil </w:t>
      </w:r>
      <w:r w:rsidR="00D35C69" w:rsidRPr="00BB1B93">
        <w:rPr>
          <w:lang w:val="fr-FR"/>
        </w:rPr>
        <w:t>de l’UE examine</w:t>
      </w:r>
      <w:r w:rsidR="001952DB" w:rsidRPr="00BB1B93">
        <w:rPr>
          <w:lang w:val="fr-FR"/>
        </w:rPr>
        <w:t>ra</w:t>
      </w:r>
      <w:r w:rsidR="00D35C69" w:rsidRPr="00BB1B93">
        <w:rPr>
          <w:lang w:val="fr-FR"/>
        </w:rPr>
        <w:t xml:space="preserve"> </w:t>
      </w:r>
      <w:r w:rsidR="000034F8">
        <w:rPr>
          <w:lang w:val="fr-FR"/>
        </w:rPr>
        <w:t>ce</w:t>
      </w:r>
      <w:r w:rsidR="00D35C69" w:rsidRPr="00BB1B93">
        <w:rPr>
          <w:lang w:val="fr-FR"/>
        </w:rPr>
        <w:t xml:space="preserve"> projet et arrête</w:t>
      </w:r>
      <w:r w:rsidR="001952DB" w:rsidRPr="00BB1B93">
        <w:rPr>
          <w:lang w:val="fr-FR"/>
        </w:rPr>
        <w:t>ra</w:t>
      </w:r>
      <w:r w:rsidR="00D35C69" w:rsidRPr="00BB1B93">
        <w:rPr>
          <w:lang w:val="fr-FR"/>
        </w:rPr>
        <w:t xml:space="preserve"> des recommandations par pays, qui </w:t>
      </w:r>
      <w:r w:rsidR="001952DB" w:rsidRPr="00BB1B93">
        <w:rPr>
          <w:lang w:val="fr-FR"/>
        </w:rPr>
        <w:t>seront</w:t>
      </w:r>
      <w:r w:rsidR="00D35C69" w:rsidRPr="00BB1B93">
        <w:rPr>
          <w:lang w:val="fr-FR"/>
        </w:rPr>
        <w:t xml:space="preserve"> ensuite présentées au Conseil européen pour approbation. </w:t>
      </w:r>
    </w:p>
    <w:p w:rsidR="00FE01B0" w:rsidRPr="00BB1B93" w:rsidRDefault="0021365E" w:rsidP="000B7CB0">
      <w:pPr>
        <w:jc w:val="both"/>
        <w:rPr>
          <w:b/>
          <w:lang w:val="fr-FR"/>
        </w:rPr>
      </w:pPr>
      <w:r w:rsidRPr="00BB1B93">
        <w:rPr>
          <w:b/>
          <w:lang w:val="fr-FR"/>
        </w:rPr>
        <w:t>La situation économique en 2013</w:t>
      </w:r>
    </w:p>
    <w:p w:rsidR="004664AD" w:rsidRPr="00BB1B93" w:rsidRDefault="004664AD" w:rsidP="000B7CB0">
      <w:pPr>
        <w:jc w:val="both"/>
        <w:rPr>
          <w:lang w:val="fr-FR"/>
        </w:rPr>
      </w:pPr>
      <w:r w:rsidRPr="00BB1B93">
        <w:rPr>
          <w:lang w:val="fr-FR"/>
        </w:rPr>
        <w:t xml:space="preserve">Après la croissance </w:t>
      </w:r>
      <w:r w:rsidR="00D35C69" w:rsidRPr="00BB1B93">
        <w:rPr>
          <w:lang w:val="fr-FR"/>
        </w:rPr>
        <w:t xml:space="preserve">endémique </w:t>
      </w:r>
      <w:r w:rsidRPr="00BB1B93">
        <w:rPr>
          <w:lang w:val="fr-FR"/>
        </w:rPr>
        <w:t>de 0</w:t>
      </w:r>
      <w:r w:rsidR="000034F8">
        <w:rPr>
          <w:lang w:val="fr-FR"/>
        </w:rPr>
        <w:t>,</w:t>
      </w:r>
      <w:r w:rsidRPr="00BB1B93">
        <w:rPr>
          <w:lang w:val="fr-FR"/>
        </w:rPr>
        <w:t xml:space="preserve">3% </w:t>
      </w:r>
      <w:r w:rsidR="003D2151" w:rsidRPr="00BB1B93">
        <w:rPr>
          <w:lang w:val="fr-FR"/>
        </w:rPr>
        <w:t>de l’économie luxembourgeoise</w:t>
      </w:r>
      <w:r w:rsidRPr="00BB1B93">
        <w:rPr>
          <w:lang w:val="fr-FR"/>
        </w:rPr>
        <w:t xml:space="preserve"> en 2012, le programme de stabilité retient une hypothèse de croissance de 1% en 2013. Cette hypothèse de croissance </w:t>
      </w:r>
      <w:r w:rsidR="00D35C69" w:rsidRPr="00BB1B93">
        <w:rPr>
          <w:lang w:val="fr-FR"/>
        </w:rPr>
        <w:t>semble résolument optimiste eu égard aux perspectives de croissance des principaux partenaires du Luxe</w:t>
      </w:r>
      <w:r w:rsidR="000034F8">
        <w:rPr>
          <w:lang w:val="fr-FR"/>
        </w:rPr>
        <w:t>mbourg (0% pour la Belgique, -0,1% pour la France, 0,</w:t>
      </w:r>
      <w:r w:rsidR="00D35C69" w:rsidRPr="00BB1B93">
        <w:rPr>
          <w:lang w:val="fr-FR"/>
        </w:rPr>
        <w:t>4% pour l’Allemagne</w:t>
      </w:r>
      <w:r w:rsidR="00C761FF" w:rsidRPr="00BB1B93">
        <w:rPr>
          <w:lang w:val="fr-FR"/>
        </w:rPr>
        <w:t xml:space="preserve"> d’après les récentes prévisions de printemps de la Commission européenne</w:t>
      </w:r>
      <w:r w:rsidR="00D35C69" w:rsidRPr="00BB1B93">
        <w:rPr>
          <w:lang w:val="fr-FR"/>
        </w:rPr>
        <w:t>)</w:t>
      </w:r>
      <w:r w:rsidR="00C761FF" w:rsidRPr="00BB1B93">
        <w:rPr>
          <w:lang w:val="fr-FR"/>
        </w:rPr>
        <w:t xml:space="preserve"> et à l’environnement économique dans les premiers mois de l’année (chômage en hausse,</w:t>
      </w:r>
      <w:r w:rsidR="001F003E" w:rsidRPr="00BB1B93">
        <w:rPr>
          <w:lang w:val="fr-FR"/>
        </w:rPr>
        <w:t xml:space="preserve"> confiance des consommateurs en dessous de sa moyenne historique, absence de dynamisme du secteur financier</w:t>
      </w:r>
      <w:r w:rsidR="000034F8">
        <w:rPr>
          <w:lang w:val="fr-FR"/>
        </w:rPr>
        <w:t>, difficultés dans les secteurs de l’industrie et de la construction</w:t>
      </w:r>
      <w:r w:rsidR="001F003E" w:rsidRPr="00BB1B93">
        <w:rPr>
          <w:lang w:val="fr-FR"/>
        </w:rPr>
        <w:t>)</w:t>
      </w:r>
      <w:r w:rsidR="00C761FF" w:rsidRPr="00BB1B93">
        <w:rPr>
          <w:lang w:val="fr-FR"/>
        </w:rPr>
        <w:t>.</w:t>
      </w:r>
    </w:p>
    <w:p w:rsidR="00E04C70" w:rsidRPr="00BB1B93" w:rsidRDefault="004664AD" w:rsidP="00E04C70">
      <w:pPr>
        <w:jc w:val="both"/>
        <w:rPr>
          <w:lang w:val="fr-FR"/>
        </w:rPr>
      </w:pPr>
      <w:r w:rsidRPr="00BB1B93">
        <w:rPr>
          <w:lang w:val="fr-FR"/>
        </w:rPr>
        <w:t xml:space="preserve">Le déficit </w:t>
      </w:r>
      <w:r w:rsidR="001F003E" w:rsidRPr="00BB1B93">
        <w:rPr>
          <w:lang w:val="fr-FR"/>
        </w:rPr>
        <w:t xml:space="preserve">des Administrations publiques consolidées (Administration centrale, Administrations locales, Sécurité sociale) </w:t>
      </w:r>
      <w:r w:rsidRPr="00BB1B93">
        <w:rPr>
          <w:lang w:val="fr-FR"/>
        </w:rPr>
        <w:t xml:space="preserve">est attendu </w:t>
      </w:r>
      <w:r w:rsidR="000034F8">
        <w:rPr>
          <w:lang w:val="fr-FR"/>
        </w:rPr>
        <w:t>à 0,</w:t>
      </w:r>
      <w:r w:rsidR="00756DE0" w:rsidRPr="00BB1B93">
        <w:rPr>
          <w:lang w:val="fr-FR"/>
        </w:rPr>
        <w:t>7%</w:t>
      </w:r>
      <w:r w:rsidR="000034F8">
        <w:rPr>
          <w:lang w:val="fr-FR"/>
        </w:rPr>
        <w:t xml:space="preserve"> du PIB (après 0,</w:t>
      </w:r>
      <w:r w:rsidR="00756DE0" w:rsidRPr="00BB1B93">
        <w:rPr>
          <w:lang w:val="fr-FR"/>
        </w:rPr>
        <w:t>8% en 2012) et la dette publique continuera</w:t>
      </w:r>
      <w:r w:rsidR="000034F8">
        <w:rPr>
          <w:lang w:val="fr-FR"/>
        </w:rPr>
        <w:t>it de gonfler pour atteindre 23,</w:t>
      </w:r>
      <w:r w:rsidR="00756DE0" w:rsidRPr="00BB1B93">
        <w:rPr>
          <w:lang w:val="fr-FR"/>
        </w:rPr>
        <w:t xml:space="preserve">8% du </w:t>
      </w:r>
      <w:r w:rsidR="003D2151" w:rsidRPr="00BB1B93">
        <w:rPr>
          <w:lang w:val="fr-FR"/>
        </w:rPr>
        <w:t>PIB</w:t>
      </w:r>
      <w:r w:rsidR="000034F8">
        <w:rPr>
          <w:lang w:val="fr-FR"/>
        </w:rPr>
        <w:t xml:space="preserve"> (20,</w:t>
      </w:r>
      <w:r w:rsidR="00756DE0" w:rsidRPr="00BB1B93">
        <w:rPr>
          <w:lang w:val="fr-FR"/>
        </w:rPr>
        <w:t>8% en 2012).</w:t>
      </w:r>
      <w:r w:rsidR="00E04C70" w:rsidRPr="00BB1B93">
        <w:rPr>
          <w:lang w:val="fr-FR"/>
        </w:rPr>
        <w:t xml:space="preserve"> L’Administration centrale prise isolément afficherait un nouveau déficit de l’ordre de 1,0 mia en 2013 (2,2% du PIB), confirmant de la sorte la nature structurelle du déficit de l’Etat avant même que s’annonce la disparition des recettes de TVA sur le commerce électronique.</w:t>
      </w:r>
    </w:p>
    <w:p w:rsidR="00112E1D" w:rsidRPr="00BB1B93" w:rsidRDefault="00756DE0" w:rsidP="000B7CB0">
      <w:pPr>
        <w:jc w:val="both"/>
        <w:rPr>
          <w:lang w:val="fr-FR"/>
        </w:rPr>
      </w:pPr>
      <w:r w:rsidRPr="00BB1B93">
        <w:rPr>
          <w:lang w:val="fr-FR"/>
        </w:rPr>
        <w:t xml:space="preserve">Malgré </w:t>
      </w:r>
      <w:r w:rsidR="000034F8">
        <w:rPr>
          <w:lang w:val="fr-FR"/>
        </w:rPr>
        <w:t>l’évolution positive sur le marché</w:t>
      </w:r>
      <w:r w:rsidRPr="00BB1B93">
        <w:rPr>
          <w:lang w:val="fr-FR"/>
        </w:rPr>
        <w:t xml:space="preserve"> du travail (croissance de l’emploi total de 1</w:t>
      </w:r>
      <w:r w:rsidR="000034F8">
        <w:rPr>
          <w:lang w:val="fr-FR"/>
        </w:rPr>
        <w:t>,</w:t>
      </w:r>
      <w:r w:rsidRPr="00BB1B93">
        <w:rPr>
          <w:lang w:val="fr-FR"/>
        </w:rPr>
        <w:t xml:space="preserve">7% en 2013), le </w:t>
      </w:r>
      <w:r w:rsidR="00FE01B0" w:rsidRPr="00BB1B93">
        <w:rPr>
          <w:lang w:val="fr-FR"/>
        </w:rPr>
        <w:t xml:space="preserve">taux de </w:t>
      </w:r>
      <w:r w:rsidRPr="00BB1B93">
        <w:rPr>
          <w:lang w:val="fr-FR"/>
        </w:rPr>
        <w:t xml:space="preserve">chômage continuerait d’augmenter </w:t>
      </w:r>
      <w:r w:rsidR="000034F8">
        <w:rPr>
          <w:lang w:val="fr-FR"/>
        </w:rPr>
        <w:t>et passerait de 6,</w:t>
      </w:r>
      <w:r w:rsidR="00FE01B0" w:rsidRPr="00BB1B93">
        <w:rPr>
          <w:lang w:val="fr-FR"/>
        </w:rPr>
        <w:t>1% en 2012 à 6</w:t>
      </w:r>
      <w:r w:rsidR="000034F8">
        <w:rPr>
          <w:lang w:val="fr-FR"/>
        </w:rPr>
        <w:t>,</w:t>
      </w:r>
      <w:r w:rsidR="00FE01B0" w:rsidRPr="00BB1B93">
        <w:rPr>
          <w:lang w:val="fr-FR"/>
        </w:rPr>
        <w:t>7% en 2013</w:t>
      </w:r>
      <w:r w:rsidR="00E04C70" w:rsidRPr="00BB1B93">
        <w:rPr>
          <w:lang w:val="fr-FR"/>
        </w:rPr>
        <w:t>, soulignant là aussi la nature largement structurelle du sous-emploi résident</w:t>
      </w:r>
      <w:r w:rsidR="00FE01B0" w:rsidRPr="00BB1B93">
        <w:rPr>
          <w:lang w:val="fr-FR"/>
        </w:rPr>
        <w:t xml:space="preserve">. </w:t>
      </w:r>
    </w:p>
    <w:p w:rsidR="0021365E" w:rsidRPr="00BB1B93" w:rsidRDefault="0021365E" w:rsidP="000B7CB0">
      <w:pPr>
        <w:jc w:val="both"/>
        <w:rPr>
          <w:b/>
          <w:lang w:val="fr-FR"/>
        </w:rPr>
      </w:pPr>
      <w:r w:rsidRPr="00BB1B93">
        <w:rPr>
          <w:b/>
          <w:lang w:val="fr-FR"/>
        </w:rPr>
        <w:t>Projections pour les années 2014-2016</w:t>
      </w:r>
    </w:p>
    <w:p w:rsidR="00CA5026" w:rsidRPr="00BB1B93" w:rsidRDefault="00C205F6" w:rsidP="000B7CB0">
      <w:pPr>
        <w:jc w:val="both"/>
        <w:rPr>
          <w:lang w:val="fr-FR"/>
        </w:rPr>
      </w:pPr>
      <w:r w:rsidRPr="00BB1B93">
        <w:rPr>
          <w:lang w:val="fr-FR"/>
        </w:rPr>
        <w:t>La prévision à moyen terme est élaborée sous l’hypothèse d</w:t>
      </w:r>
      <w:r w:rsidR="00DA6370" w:rsidRPr="00BB1B93">
        <w:rPr>
          <w:lang w:val="fr-FR"/>
        </w:rPr>
        <w:t>’une</w:t>
      </w:r>
      <w:r w:rsidRPr="00BB1B93">
        <w:rPr>
          <w:lang w:val="fr-FR"/>
        </w:rPr>
        <w:t xml:space="preserve"> stabilisation de la</w:t>
      </w:r>
      <w:r w:rsidR="00D038CB" w:rsidRPr="00BB1B93">
        <w:rPr>
          <w:lang w:val="fr-FR"/>
        </w:rPr>
        <w:t xml:space="preserve"> crise de la</w:t>
      </w:r>
      <w:r w:rsidRPr="00BB1B93">
        <w:rPr>
          <w:lang w:val="fr-FR"/>
        </w:rPr>
        <w:t xml:space="preserve"> dette souveraine </w:t>
      </w:r>
      <w:r w:rsidR="001952DB" w:rsidRPr="00BB1B93">
        <w:rPr>
          <w:lang w:val="fr-FR"/>
        </w:rPr>
        <w:t>en zone e</w:t>
      </w:r>
      <w:r w:rsidR="00D038CB" w:rsidRPr="00BB1B93">
        <w:rPr>
          <w:lang w:val="fr-FR"/>
        </w:rPr>
        <w:t>uro</w:t>
      </w:r>
      <w:r w:rsidR="00DA6370" w:rsidRPr="00BB1B93">
        <w:rPr>
          <w:lang w:val="fr-FR"/>
        </w:rPr>
        <w:t xml:space="preserve">, </w:t>
      </w:r>
      <w:r w:rsidR="00D038CB" w:rsidRPr="00BB1B93">
        <w:rPr>
          <w:lang w:val="fr-FR"/>
        </w:rPr>
        <w:t>d’une forte reprise de la demande adressée au Luxembourg (croissance des exportations)</w:t>
      </w:r>
      <w:r w:rsidR="00DA6370" w:rsidRPr="00BB1B93">
        <w:rPr>
          <w:lang w:val="fr-FR"/>
        </w:rPr>
        <w:t xml:space="preserve"> et </w:t>
      </w:r>
      <w:r w:rsidR="00AD5813" w:rsidRPr="00BB1B93">
        <w:rPr>
          <w:lang w:val="fr-FR"/>
        </w:rPr>
        <w:t>sur la capacité de l’économie luxembourgeoise à résorber l</w:t>
      </w:r>
      <w:r w:rsidR="00CD0BC6" w:rsidRPr="00BB1B93">
        <w:rPr>
          <w:lang w:val="fr-FR"/>
        </w:rPr>
        <w:t>’écart de production</w:t>
      </w:r>
      <w:r w:rsidR="00AD5813" w:rsidRPr="00BB1B93">
        <w:rPr>
          <w:lang w:val="fr-FR"/>
        </w:rPr>
        <w:t xml:space="preserve"> concomitant à la crise</w:t>
      </w:r>
      <w:r w:rsidR="001952DB" w:rsidRPr="00BB1B93">
        <w:rPr>
          <w:lang w:val="fr-FR"/>
        </w:rPr>
        <w:t xml:space="preserve"> (voir encadré)</w:t>
      </w:r>
      <w:r w:rsidR="00AD5813" w:rsidRPr="00BB1B93">
        <w:rPr>
          <w:lang w:val="fr-FR"/>
        </w:rPr>
        <w:t xml:space="preserve">. </w:t>
      </w:r>
    </w:p>
    <w:p w:rsidR="0021365E" w:rsidRPr="00BB1B93" w:rsidRDefault="00AD5813" w:rsidP="000B7CB0">
      <w:pPr>
        <w:jc w:val="both"/>
        <w:rPr>
          <w:lang w:val="fr-FR"/>
        </w:rPr>
      </w:pPr>
      <w:r w:rsidRPr="00BB1B93">
        <w:rPr>
          <w:lang w:val="fr-FR"/>
        </w:rPr>
        <w:t>En</w:t>
      </w:r>
      <w:r w:rsidR="00DA6370" w:rsidRPr="00BB1B93">
        <w:rPr>
          <w:lang w:val="fr-FR"/>
        </w:rPr>
        <w:t xml:space="preserve"> conséquence</w:t>
      </w:r>
      <w:r w:rsidR="00D038CB" w:rsidRPr="00BB1B93">
        <w:rPr>
          <w:lang w:val="fr-FR"/>
        </w:rPr>
        <w:t xml:space="preserve"> </w:t>
      </w:r>
      <w:r w:rsidRPr="00BB1B93">
        <w:rPr>
          <w:lang w:val="fr-FR"/>
        </w:rPr>
        <w:t xml:space="preserve">de ce rattrapage, le gouvernement estime </w:t>
      </w:r>
      <w:r w:rsidR="00D038CB" w:rsidRPr="00BB1B93">
        <w:rPr>
          <w:lang w:val="fr-FR"/>
        </w:rPr>
        <w:t xml:space="preserve">que la croissance </w:t>
      </w:r>
      <w:r w:rsidRPr="00BB1B93">
        <w:rPr>
          <w:lang w:val="fr-FR"/>
        </w:rPr>
        <w:t xml:space="preserve">effective </w:t>
      </w:r>
      <w:r w:rsidR="00D038CB" w:rsidRPr="00BB1B93">
        <w:rPr>
          <w:lang w:val="fr-FR"/>
        </w:rPr>
        <w:t>dépasserait</w:t>
      </w:r>
      <w:r w:rsidR="00DA6370" w:rsidRPr="00BB1B93">
        <w:rPr>
          <w:lang w:val="fr-FR"/>
        </w:rPr>
        <w:t xml:space="preserve"> </w:t>
      </w:r>
      <w:r w:rsidRPr="00BB1B93">
        <w:rPr>
          <w:lang w:val="fr-FR"/>
        </w:rPr>
        <w:t>le rythme de croissance potentielle</w:t>
      </w:r>
      <w:r w:rsidR="00CA5026" w:rsidRPr="00BB1B93">
        <w:rPr>
          <w:rStyle w:val="FootnoteReference"/>
          <w:lang w:val="fr-FR"/>
        </w:rPr>
        <w:footnoteReference w:id="1"/>
      </w:r>
      <w:r w:rsidRPr="00BB1B93">
        <w:rPr>
          <w:lang w:val="fr-FR"/>
        </w:rPr>
        <w:t xml:space="preserve"> dès 2014. Les taux de croi</w:t>
      </w:r>
      <w:r w:rsidR="000034F8">
        <w:rPr>
          <w:lang w:val="fr-FR"/>
        </w:rPr>
        <w:t>ssance attendus sont ainsi de 2,2% en 2014, 1,</w:t>
      </w:r>
      <w:r w:rsidRPr="00BB1B93">
        <w:rPr>
          <w:lang w:val="fr-FR"/>
        </w:rPr>
        <w:t xml:space="preserve">7% en 2015 et </w:t>
      </w:r>
      <w:r w:rsidR="000034F8">
        <w:rPr>
          <w:lang w:val="fr-FR"/>
        </w:rPr>
        <w:t>3,</w:t>
      </w:r>
      <w:r w:rsidR="00CA5026" w:rsidRPr="00BB1B93">
        <w:rPr>
          <w:lang w:val="fr-FR"/>
        </w:rPr>
        <w:t>4% en 2016.</w:t>
      </w:r>
    </w:p>
    <w:p w:rsidR="008F5C4F" w:rsidRPr="00BB1B93" w:rsidRDefault="00CA5026" w:rsidP="000B7CB0">
      <w:pPr>
        <w:jc w:val="both"/>
        <w:rPr>
          <w:lang w:val="fr-FR"/>
        </w:rPr>
      </w:pPr>
      <w:r w:rsidRPr="00BB1B93">
        <w:rPr>
          <w:lang w:val="fr-FR"/>
        </w:rPr>
        <w:lastRenderedPageBreak/>
        <w:t>Si la situation des finances publiques devrait légèrement s’améliorer en 2014 (déficit publi</w:t>
      </w:r>
      <w:r w:rsidR="000034F8">
        <w:rPr>
          <w:lang w:val="fr-FR"/>
        </w:rPr>
        <w:t>c</w:t>
      </w:r>
      <w:r w:rsidRPr="00BB1B93">
        <w:rPr>
          <w:lang w:val="fr-FR"/>
        </w:rPr>
        <w:t xml:space="preserve"> à 0</w:t>
      </w:r>
      <w:r w:rsidR="000034F8">
        <w:rPr>
          <w:lang w:val="fr-FR"/>
        </w:rPr>
        <w:t>,</w:t>
      </w:r>
      <w:r w:rsidRPr="00BB1B93">
        <w:rPr>
          <w:lang w:val="fr-FR"/>
        </w:rPr>
        <w:t xml:space="preserve">6% du PIB), elle se détériore </w:t>
      </w:r>
      <w:r w:rsidR="0041261C" w:rsidRPr="00BB1B93">
        <w:rPr>
          <w:lang w:val="fr-FR"/>
        </w:rPr>
        <w:t xml:space="preserve">ensuite </w:t>
      </w:r>
      <w:r w:rsidR="0021642B" w:rsidRPr="00BB1B93">
        <w:rPr>
          <w:lang w:val="fr-FR"/>
        </w:rPr>
        <w:t>très largement. Le déficit public est prévu à 1</w:t>
      </w:r>
      <w:r w:rsidR="000034F8">
        <w:rPr>
          <w:lang w:val="fr-FR"/>
        </w:rPr>
        <w:t>,</w:t>
      </w:r>
      <w:r w:rsidR="0021642B" w:rsidRPr="00BB1B93">
        <w:rPr>
          <w:lang w:val="fr-FR"/>
        </w:rPr>
        <w:t xml:space="preserve">3% du PIB en 2015 et 2016, du fait notamment de la modification </w:t>
      </w:r>
      <w:r w:rsidR="0041261C" w:rsidRPr="00BB1B93">
        <w:rPr>
          <w:lang w:val="fr-FR"/>
        </w:rPr>
        <w:t>du régime de taxation sur la valeur ajoutée en matière de commerce électronique</w:t>
      </w:r>
      <w:r w:rsidR="0041261C" w:rsidRPr="00BB1B93">
        <w:rPr>
          <w:rStyle w:val="FootnoteReference"/>
          <w:lang w:val="fr-FR"/>
        </w:rPr>
        <w:footnoteReference w:id="2"/>
      </w:r>
      <w:r w:rsidR="0021642B" w:rsidRPr="00BB1B93">
        <w:rPr>
          <w:lang w:val="fr-FR"/>
        </w:rPr>
        <w:t xml:space="preserve"> à partir du 1</w:t>
      </w:r>
      <w:r w:rsidR="0021642B" w:rsidRPr="00BB1B93">
        <w:rPr>
          <w:vertAlign w:val="superscript"/>
          <w:lang w:val="fr-FR"/>
        </w:rPr>
        <w:t>er</w:t>
      </w:r>
      <w:r w:rsidR="0021642B" w:rsidRPr="00BB1B93">
        <w:rPr>
          <w:lang w:val="fr-FR"/>
        </w:rPr>
        <w:t xml:space="preserve"> janvier 2015.</w:t>
      </w:r>
      <w:r w:rsidR="00A374A9" w:rsidRPr="00BB1B93">
        <w:rPr>
          <w:lang w:val="fr-FR"/>
        </w:rPr>
        <w:t xml:space="preserve"> </w:t>
      </w:r>
    </w:p>
    <w:p w:rsidR="0021365E" w:rsidRPr="00BB1B93" w:rsidRDefault="00A374A9" w:rsidP="000B7CB0">
      <w:pPr>
        <w:jc w:val="both"/>
        <w:rPr>
          <w:lang w:val="fr-FR"/>
        </w:rPr>
      </w:pPr>
      <w:r w:rsidRPr="00BB1B93">
        <w:rPr>
          <w:lang w:val="fr-FR"/>
        </w:rPr>
        <w:t>Le solde structurel correspondant</w:t>
      </w:r>
      <w:r w:rsidR="00256E8F">
        <w:rPr>
          <w:lang w:val="fr-FR"/>
        </w:rPr>
        <w:t xml:space="preserve"> </w:t>
      </w:r>
      <w:r w:rsidR="00256E8F" w:rsidRPr="00BB1B93">
        <w:rPr>
          <w:lang w:val="fr-FR"/>
        </w:rPr>
        <w:t>(voir encadré</w:t>
      </w:r>
      <w:r w:rsidR="00256E8F">
        <w:rPr>
          <w:lang w:val="fr-FR"/>
        </w:rPr>
        <w:t>)</w:t>
      </w:r>
      <w:r w:rsidRPr="00BB1B93">
        <w:rPr>
          <w:lang w:val="fr-FR"/>
        </w:rPr>
        <w:t xml:space="preserve"> se chiffre </w:t>
      </w:r>
      <w:proofErr w:type="gramStart"/>
      <w:r w:rsidRPr="00BB1B93">
        <w:rPr>
          <w:lang w:val="fr-FR"/>
        </w:rPr>
        <w:t>à</w:t>
      </w:r>
      <w:proofErr w:type="gramEnd"/>
      <w:r w:rsidRPr="00BB1B93">
        <w:rPr>
          <w:lang w:val="fr-FR"/>
        </w:rPr>
        <w:t xml:space="preserve"> -1</w:t>
      </w:r>
      <w:r w:rsidR="000034F8">
        <w:rPr>
          <w:lang w:val="fr-FR"/>
        </w:rPr>
        <w:t>,</w:t>
      </w:r>
      <w:r w:rsidRPr="00BB1B93">
        <w:rPr>
          <w:lang w:val="fr-FR"/>
        </w:rPr>
        <w:t xml:space="preserve">1% du PIB en 2016, </w:t>
      </w:r>
      <w:r w:rsidR="00D774F2" w:rsidRPr="00BB1B93">
        <w:rPr>
          <w:lang w:val="fr-FR"/>
        </w:rPr>
        <w:t>soit un écart de 1</w:t>
      </w:r>
      <w:r w:rsidR="000034F8">
        <w:rPr>
          <w:lang w:val="fr-FR"/>
        </w:rPr>
        <w:t>,</w:t>
      </w:r>
      <w:r w:rsidR="008F5C4F" w:rsidRPr="00BB1B93">
        <w:rPr>
          <w:lang w:val="fr-FR"/>
        </w:rPr>
        <w:t>6</w:t>
      </w:r>
      <w:r w:rsidR="00D774F2" w:rsidRPr="00BB1B93">
        <w:rPr>
          <w:lang w:val="fr-FR"/>
        </w:rPr>
        <w:t xml:space="preserve"> point par rapport à l’objectif budgéta</w:t>
      </w:r>
      <w:r w:rsidR="001952DB" w:rsidRPr="00BB1B93">
        <w:rPr>
          <w:lang w:val="fr-FR"/>
        </w:rPr>
        <w:t>ire à moyen terme</w:t>
      </w:r>
      <w:r w:rsidR="00A215DB">
        <w:rPr>
          <w:rStyle w:val="FootnoteReference"/>
          <w:lang w:val="fr-FR"/>
        </w:rPr>
        <w:footnoteReference w:id="3"/>
      </w:r>
      <w:r w:rsidR="001952DB" w:rsidRPr="00BB1B93">
        <w:rPr>
          <w:lang w:val="fr-FR"/>
        </w:rPr>
        <w:t xml:space="preserve"> du Luxembourg.</w:t>
      </w:r>
    </w:p>
    <w:p w:rsidR="0021642B" w:rsidRPr="00BB1B93" w:rsidRDefault="0021642B" w:rsidP="000B7CB0">
      <w:pPr>
        <w:jc w:val="both"/>
        <w:rPr>
          <w:lang w:val="fr-FR"/>
        </w:rPr>
      </w:pPr>
      <w:r w:rsidRPr="00BB1B93">
        <w:rPr>
          <w:lang w:val="fr-FR"/>
        </w:rPr>
        <w:t>Le ratio dette publique/PIB passerait de 25</w:t>
      </w:r>
      <w:r w:rsidR="000034F8">
        <w:rPr>
          <w:lang w:val="fr-FR"/>
        </w:rPr>
        <w:t>,</w:t>
      </w:r>
      <w:r w:rsidRPr="00BB1B93">
        <w:rPr>
          <w:lang w:val="fr-FR"/>
        </w:rPr>
        <w:t>9% en 2014 à 27</w:t>
      </w:r>
      <w:r w:rsidR="000034F8">
        <w:rPr>
          <w:lang w:val="fr-FR"/>
        </w:rPr>
        <w:t>,</w:t>
      </w:r>
      <w:r w:rsidRPr="00BB1B93">
        <w:rPr>
          <w:lang w:val="fr-FR"/>
        </w:rPr>
        <w:t>9% en 2016</w:t>
      </w:r>
      <w:r w:rsidR="008F5C4F" w:rsidRPr="00BB1B93">
        <w:rPr>
          <w:lang w:val="fr-FR"/>
        </w:rPr>
        <w:t xml:space="preserve">. Entre 2007 et 2016, la dette publique aura quadruplé. </w:t>
      </w:r>
    </w:p>
    <w:p w:rsidR="0092763A" w:rsidRPr="00BB1B93" w:rsidRDefault="0092763A" w:rsidP="000B7CB0">
      <w:pPr>
        <w:jc w:val="both"/>
        <w:rPr>
          <w:lang w:val="fr-FR"/>
        </w:rPr>
      </w:pPr>
      <w:r w:rsidRPr="00BB1B93">
        <w:rPr>
          <w:lang w:val="fr-FR"/>
        </w:rPr>
        <w:t>Le chômage après un pic à 6</w:t>
      </w:r>
      <w:r w:rsidR="00C81034">
        <w:rPr>
          <w:lang w:val="fr-FR"/>
        </w:rPr>
        <w:t>,</w:t>
      </w:r>
      <w:r w:rsidRPr="00BB1B93">
        <w:rPr>
          <w:lang w:val="fr-FR"/>
        </w:rPr>
        <w:t>8% en 2014 devrait commencer à refluer à partir de 2015 et revenir à 6</w:t>
      </w:r>
      <w:r w:rsidR="000034F8">
        <w:rPr>
          <w:lang w:val="fr-FR"/>
        </w:rPr>
        <w:t>,</w:t>
      </w:r>
      <w:r w:rsidRPr="00BB1B93">
        <w:rPr>
          <w:lang w:val="fr-FR"/>
        </w:rPr>
        <w:t>5% en 2016.</w:t>
      </w:r>
    </w:p>
    <w:p w:rsidR="00A36B7A" w:rsidRPr="00BB1B93" w:rsidRDefault="00A36B7A" w:rsidP="00A36B7A">
      <w:pPr>
        <w:jc w:val="both"/>
        <w:rPr>
          <w:lang w:val="fr-FR"/>
        </w:rPr>
      </w:pPr>
      <w:r w:rsidRPr="00BB1B93">
        <w:rPr>
          <w:lang w:val="fr-FR"/>
        </w:rPr>
        <w:t>Ce programme de stabilité soulève néanmoins plusieurs interrogations.</w:t>
      </w:r>
    </w:p>
    <w:p w:rsidR="00A36B7A" w:rsidRPr="00BB1B93" w:rsidRDefault="00A36B7A" w:rsidP="00A36B7A">
      <w:pPr>
        <w:pStyle w:val="ListParagraph"/>
        <w:numPr>
          <w:ilvl w:val="0"/>
          <w:numId w:val="1"/>
        </w:numPr>
        <w:jc w:val="both"/>
        <w:rPr>
          <w:lang w:val="fr-FR"/>
        </w:rPr>
      </w:pPr>
      <w:r w:rsidRPr="00BB1B93">
        <w:rPr>
          <w:lang w:val="fr-FR"/>
        </w:rPr>
        <w:t>Les taux de croissance sur lesquels s’appuie</w:t>
      </w:r>
      <w:r w:rsidR="00F01EF3" w:rsidRPr="00BB1B93">
        <w:rPr>
          <w:lang w:val="fr-FR"/>
        </w:rPr>
        <w:t xml:space="preserve"> le programme de stabilité ne</w:t>
      </w:r>
      <w:r w:rsidRPr="00BB1B93">
        <w:rPr>
          <w:lang w:val="fr-FR"/>
        </w:rPr>
        <w:t xml:space="preserve"> sont-ils pas entachés d’un biais optimiste ?</w:t>
      </w:r>
      <w:r w:rsidR="00F01EF3" w:rsidRPr="00BB1B93">
        <w:rPr>
          <w:lang w:val="fr-FR"/>
        </w:rPr>
        <w:t xml:space="preserve"> </w:t>
      </w:r>
      <w:r w:rsidR="003F5457" w:rsidRPr="00BB1B93">
        <w:rPr>
          <w:lang w:val="fr-FR"/>
        </w:rPr>
        <w:t>En guise d’illustration</w:t>
      </w:r>
      <w:r w:rsidRPr="00BB1B93">
        <w:rPr>
          <w:lang w:val="fr-FR"/>
        </w:rPr>
        <w:t>, les prévisions de croissance à un an des précédents programmes ont été surestimées en moyenne de 0</w:t>
      </w:r>
      <w:r w:rsidR="000034F8">
        <w:rPr>
          <w:lang w:val="fr-FR"/>
        </w:rPr>
        <w:t>,</w:t>
      </w:r>
      <w:r w:rsidRPr="00BB1B93">
        <w:rPr>
          <w:lang w:val="fr-FR"/>
        </w:rPr>
        <w:t>6%</w:t>
      </w:r>
      <w:r w:rsidR="00F01EF3" w:rsidRPr="00BB1B93">
        <w:rPr>
          <w:rStyle w:val="FootnoteReference"/>
          <w:lang w:val="fr-FR"/>
        </w:rPr>
        <w:footnoteReference w:id="4"/>
      </w:r>
      <w:r w:rsidRPr="00BB1B93">
        <w:rPr>
          <w:lang w:val="fr-FR"/>
        </w:rPr>
        <w:t>.</w:t>
      </w:r>
    </w:p>
    <w:p w:rsidR="00F01EF3" w:rsidRPr="00BB1B93" w:rsidRDefault="00F01EF3" w:rsidP="00A36B7A">
      <w:pPr>
        <w:pStyle w:val="ListParagraph"/>
        <w:numPr>
          <w:ilvl w:val="0"/>
          <w:numId w:val="1"/>
        </w:numPr>
        <w:jc w:val="both"/>
        <w:rPr>
          <w:lang w:val="fr-FR"/>
        </w:rPr>
      </w:pPr>
      <w:r w:rsidRPr="00BB1B93">
        <w:rPr>
          <w:lang w:val="fr-FR"/>
        </w:rPr>
        <w:t>L</w:t>
      </w:r>
      <w:r w:rsidR="00BB1B93">
        <w:rPr>
          <w:lang w:val="fr-FR"/>
        </w:rPr>
        <w:t>’élection</w:t>
      </w:r>
      <w:r w:rsidRPr="00BB1B93">
        <w:rPr>
          <w:lang w:val="fr-FR"/>
        </w:rPr>
        <w:t xml:space="preserve"> législative de 2014 </w:t>
      </w:r>
      <w:r w:rsidR="00BB1B93">
        <w:rPr>
          <w:lang w:val="fr-FR"/>
        </w:rPr>
        <w:t>est-elle</w:t>
      </w:r>
      <w:r w:rsidRPr="00BB1B93">
        <w:rPr>
          <w:lang w:val="fr-FR"/>
        </w:rPr>
        <w:t xml:space="preserve"> une raison suffisante pour </w:t>
      </w:r>
      <w:r w:rsidR="00BB1B93">
        <w:rPr>
          <w:lang w:val="fr-FR"/>
        </w:rPr>
        <w:t>remettre à plus tard la présentation d’un</w:t>
      </w:r>
      <w:r w:rsidRPr="00BB1B93">
        <w:rPr>
          <w:lang w:val="fr-FR"/>
        </w:rPr>
        <w:t xml:space="preserve"> plan </w:t>
      </w:r>
      <w:r w:rsidR="006C676B" w:rsidRPr="00BB1B93">
        <w:rPr>
          <w:lang w:val="fr-FR"/>
        </w:rPr>
        <w:t xml:space="preserve">d’assainissement budgétaire </w:t>
      </w:r>
      <w:r w:rsidRPr="00BB1B93">
        <w:rPr>
          <w:lang w:val="fr-FR"/>
        </w:rPr>
        <w:t>crédible</w:t>
      </w:r>
      <w:r w:rsidR="006C676B" w:rsidRPr="00BB1B93">
        <w:rPr>
          <w:lang w:val="fr-FR"/>
        </w:rPr>
        <w:t xml:space="preserve"> et ambitieux</w:t>
      </w:r>
      <w:r w:rsidRPr="00BB1B93">
        <w:rPr>
          <w:lang w:val="fr-FR"/>
        </w:rPr>
        <w:t xml:space="preserve"> afin d’atteindre l’objectif budgétaire et stabiliser la dette dès 2015</w:t>
      </w:r>
      <w:r w:rsidR="001952DB" w:rsidRPr="00BB1B93">
        <w:rPr>
          <w:lang w:val="fr-FR"/>
        </w:rPr>
        <w:t> ?</w:t>
      </w:r>
    </w:p>
    <w:p w:rsidR="00F01EF3" w:rsidRDefault="0045674B" w:rsidP="00A36B7A">
      <w:pPr>
        <w:pStyle w:val="ListParagraph"/>
        <w:numPr>
          <w:ilvl w:val="0"/>
          <w:numId w:val="1"/>
        </w:numPr>
        <w:jc w:val="both"/>
        <w:rPr>
          <w:lang w:val="fr-FR"/>
        </w:rPr>
      </w:pPr>
      <w:r w:rsidRPr="00BB1B93">
        <w:rPr>
          <w:lang w:val="fr-FR"/>
        </w:rPr>
        <w:t>Puisque t</w:t>
      </w:r>
      <w:r w:rsidR="00C474BA" w:rsidRPr="00BB1B93">
        <w:rPr>
          <w:lang w:val="fr-FR"/>
        </w:rPr>
        <w:t>oute</w:t>
      </w:r>
      <w:r w:rsidRPr="00BB1B93">
        <w:rPr>
          <w:lang w:val="fr-FR"/>
        </w:rPr>
        <w:t>s</w:t>
      </w:r>
      <w:r w:rsidR="00C474BA" w:rsidRPr="00BB1B93">
        <w:rPr>
          <w:lang w:val="fr-FR"/>
        </w:rPr>
        <w:t xml:space="preserve"> chose</w:t>
      </w:r>
      <w:r w:rsidRPr="00BB1B93">
        <w:rPr>
          <w:lang w:val="fr-FR"/>
        </w:rPr>
        <w:t>s</w:t>
      </w:r>
      <w:r w:rsidR="00C474BA" w:rsidRPr="00BB1B93">
        <w:rPr>
          <w:lang w:val="fr-FR"/>
        </w:rPr>
        <w:t xml:space="preserve"> égale</w:t>
      </w:r>
      <w:r w:rsidRPr="00BB1B93">
        <w:rPr>
          <w:lang w:val="fr-FR"/>
        </w:rPr>
        <w:t>s</w:t>
      </w:r>
      <w:r w:rsidR="00C474BA" w:rsidRPr="00BB1B93">
        <w:rPr>
          <w:lang w:val="fr-FR"/>
        </w:rPr>
        <w:t xml:space="preserve"> par ailleurs, 2016 sera</w:t>
      </w:r>
      <w:r w:rsidR="00BB1B93">
        <w:rPr>
          <w:lang w:val="fr-FR"/>
        </w:rPr>
        <w:t>it</w:t>
      </w:r>
      <w:r w:rsidR="00C474BA" w:rsidRPr="00BB1B93">
        <w:rPr>
          <w:lang w:val="fr-FR"/>
        </w:rPr>
        <w:t xml:space="preserve"> la huitième année où </w:t>
      </w:r>
      <w:r w:rsidR="005804BF" w:rsidRPr="00BB1B93">
        <w:rPr>
          <w:lang w:val="fr-FR"/>
        </w:rPr>
        <w:t>les dépenses des administrations publiques seront supérieures aux recettes</w:t>
      </w:r>
      <w:r w:rsidRPr="00BB1B93">
        <w:rPr>
          <w:lang w:val="fr-FR"/>
        </w:rPr>
        <w:t>,</w:t>
      </w:r>
      <w:r w:rsidR="005804BF" w:rsidRPr="00BB1B93">
        <w:rPr>
          <w:lang w:val="fr-FR"/>
        </w:rPr>
        <w:t xml:space="preserve"> </w:t>
      </w:r>
      <w:r w:rsidRPr="00BB1B93">
        <w:rPr>
          <w:lang w:val="fr-FR"/>
        </w:rPr>
        <w:t>ne faudrait-il</w:t>
      </w:r>
      <w:r w:rsidR="005804BF" w:rsidRPr="00BB1B93">
        <w:rPr>
          <w:lang w:val="fr-FR"/>
        </w:rPr>
        <w:t xml:space="preserve"> pas </w:t>
      </w:r>
      <w:r w:rsidRPr="00BB1B93">
        <w:rPr>
          <w:lang w:val="fr-FR"/>
        </w:rPr>
        <w:t xml:space="preserve">instaurer </w:t>
      </w:r>
      <w:r w:rsidR="005804BF" w:rsidRPr="00BB1B93">
        <w:rPr>
          <w:lang w:val="fr-FR"/>
        </w:rPr>
        <w:t xml:space="preserve">une règle contraignante sur l’évolution des dépenses publiques </w:t>
      </w:r>
      <w:r w:rsidRPr="00BB1B93">
        <w:rPr>
          <w:lang w:val="fr-FR"/>
        </w:rPr>
        <w:t>dans le cadre de la réforme  budgétaire à venir</w:t>
      </w:r>
      <w:r w:rsidR="001B2CC0" w:rsidRPr="00BB1B93">
        <w:rPr>
          <w:lang w:val="fr-FR"/>
        </w:rPr>
        <w:t xml:space="preserve"> </w:t>
      </w:r>
      <w:r w:rsidR="005804BF" w:rsidRPr="00BB1B93">
        <w:rPr>
          <w:lang w:val="fr-FR"/>
        </w:rPr>
        <w:t>?</w:t>
      </w:r>
    </w:p>
    <w:p w:rsidR="00353D90" w:rsidRDefault="00353D90" w:rsidP="00A36B7A">
      <w:pPr>
        <w:pStyle w:val="ListParagraph"/>
        <w:numPr>
          <w:ilvl w:val="0"/>
          <w:numId w:val="1"/>
        </w:numPr>
        <w:jc w:val="both"/>
        <w:rPr>
          <w:lang w:val="fr-FR"/>
        </w:rPr>
      </w:pPr>
      <w:r>
        <w:rPr>
          <w:lang w:val="fr-FR"/>
        </w:rPr>
        <w:t>Quelles mesures seront prises pour limiter l</w:t>
      </w:r>
      <w:r w:rsidR="0013317A">
        <w:rPr>
          <w:lang w:val="fr-FR"/>
        </w:rPr>
        <w:t>es effets</w:t>
      </w:r>
      <w:r>
        <w:rPr>
          <w:lang w:val="fr-FR"/>
        </w:rPr>
        <w:t xml:space="preserve"> négatif</w:t>
      </w:r>
      <w:r w:rsidR="0013317A">
        <w:rPr>
          <w:lang w:val="fr-FR"/>
        </w:rPr>
        <w:t>s potentiels du triple choc qui affectera l’économie luxembourgeoise en 2015 en l’occurrence l’entrée en vigueur de l’échange automatique d’informations, la perte de recettes de TVA au titre du commerce électronique et les mesures de hausses fiscales prévues (TVA…)</w:t>
      </w:r>
      <w:r>
        <w:rPr>
          <w:lang w:val="fr-FR"/>
        </w:rPr>
        <w:t> ?</w:t>
      </w:r>
    </w:p>
    <w:p w:rsidR="00353D90" w:rsidRDefault="00353D90" w:rsidP="00A36B7A">
      <w:pPr>
        <w:pStyle w:val="ListParagraph"/>
        <w:numPr>
          <w:ilvl w:val="0"/>
          <w:numId w:val="1"/>
        </w:numPr>
        <w:jc w:val="both"/>
        <w:rPr>
          <w:lang w:val="fr-FR"/>
        </w:rPr>
      </w:pPr>
      <w:r>
        <w:rPr>
          <w:lang w:val="fr-FR"/>
        </w:rPr>
        <w:t>La croissance potentielle ayant été divisée par deux avec la crise, quelles mesures seront engagées pour la relever </w:t>
      </w:r>
      <w:r w:rsidR="0013317A">
        <w:rPr>
          <w:lang w:val="fr-FR"/>
        </w:rPr>
        <w:t xml:space="preserve">et pour sauvegarder le modèle luxembourgeois </w:t>
      </w:r>
      <w:r w:rsidR="006D2F9B">
        <w:rPr>
          <w:lang w:val="fr-FR"/>
        </w:rPr>
        <w:t>qui nécessite</w:t>
      </w:r>
      <w:r w:rsidR="0013317A">
        <w:rPr>
          <w:lang w:val="fr-FR"/>
        </w:rPr>
        <w:t xml:space="preserve"> une politique de l’offre dynamique et une attractivité élevée </w:t>
      </w:r>
      <w:r>
        <w:rPr>
          <w:lang w:val="fr-FR"/>
        </w:rPr>
        <w:t>?</w:t>
      </w:r>
    </w:p>
    <w:p w:rsidR="00353D90" w:rsidRDefault="00353D90" w:rsidP="00353D90">
      <w:pPr>
        <w:jc w:val="both"/>
        <w:rPr>
          <w:lang w:val="fr-FR"/>
        </w:rPr>
      </w:pPr>
    </w:p>
    <w:p w:rsidR="00353D90" w:rsidRDefault="00353D90" w:rsidP="00353D90">
      <w:pPr>
        <w:jc w:val="both"/>
        <w:rPr>
          <w:lang w:val="fr-FR"/>
        </w:rPr>
      </w:pPr>
    </w:p>
    <w:p w:rsidR="00353D90" w:rsidRDefault="00353D90" w:rsidP="00353D90">
      <w:pPr>
        <w:jc w:val="both"/>
        <w:rPr>
          <w:lang w:val="fr-FR"/>
        </w:rPr>
      </w:pPr>
    </w:p>
    <w:p w:rsidR="00353D90" w:rsidRDefault="00353D90" w:rsidP="00353D90">
      <w:pPr>
        <w:jc w:val="both"/>
        <w:rPr>
          <w:lang w:val="fr-FR"/>
        </w:rPr>
      </w:pPr>
    </w:p>
    <w:p w:rsidR="00353D90" w:rsidRDefault="00353D90" w:rsidP="00353D90">
      <w:pPr>
        <w:jc w:val="both"/>
        <w:rPr>
          <w:lang w:val="fr-FR"/>
        </w:rPr>
      </w:pPr>
    </w:p>
    <w:p w:rsidR="00E559C9" w:rsidRPr="00BB1B93" w:rsidRDefault="00E559C9" w:rsidP="001B2CC0">
      <w:pPr>
        <w:jc w:val="center"/>
        <w:rPr>
          <w:b/>
          <w:lang w:val="fr-FR"/>
        </w:rPr>
      </w:pPr>
      <w:r w:rsidRPr="00BB1B93">
        <w:rPr>
          <w:b/>
          <w:lang w:val="fr-FR"/>
        </w:rPr>
        <w:lastRenderedPageBreak/>
        <w:t>Scénario macro-économique associé au programme de stabilité (2013-2016)</w:t>
      </w:r>
    </w:p>
    <w:tbl>
      <w:tblPr>
        <w:tblStyle w:val="TableGrid"/>
        <w:tblW w:w="7360" w:type="dxa"/>
        <w:jc w:val="center"/>
        <w:tblLook w:val="04A0"/>
      </w:tblPr>
      <w:tblGrid>
        <w:gridCol w:w="2560"/>
        <w:gridCol w:w="960"/>
        <w:gridCol w:w="960"/>
        <w:gridCol w:w="960"/>
        <w:gridCol w:w="960"/>
        <w:gridCol w:w="960"/>
      </w:tblGrid>
      <w:tr w:rsidR="00CE1D33" w:rsidRPr="00BB1B93" w:rsidTr="00CE1D33">
        <w:trPr>
          <w:trHeight w:val="300"/>
          <w:jc w:val="center"/>
        </w:trPr>
        <w:tc>
          <w:tcPr>
            <w:tcW w:w="2560" w:type="dxa"/>
            <w:noWrap/>
            <w:hideMark/>
          </w:tcPr>
          <w:p w:rsidR="00CE1D33" w:rsidRPr="00BB1B93" w:rsidRDefault="00CE1D33" w:rsidP="00CE1D33">
            <w:pPr>
              <w:rPr>
                <w:rFonts w:ascii="Calibri" w:eastAsia="Times New Roman" w:hAnsi="Calibri" w:cs="Times New Roman"/>
                <w:color w:val="000000"/>
                <w:lang w:val="fr-FR" w:eastAsia="lb-LU"/>
              </w:rPr>
            </w:pP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2012</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2013</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2014</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2015</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2016</w:t>
            </w:r>
          </w:p>
        </w:tc>
      </w:tr>
      <w:tr w:rsidR="00CE1D33" w:rsidRPr="00BB1B93" w:rsidTr="00CE1D33">
        <w:trPr>
          <w:trHeight w:val="300"/>
          <w:jc w:val="center"/>
        </w:trPr>
        <w:tc>
          <w:tcPr>
            <w:tcW w:w="2560" w:type="dxa"/>
            <w:noWrap/>
            <w:hideMark/>
          </w:tcPr>
          <w:p w:rsidR="00CE1D33" w:rsidRPr="00BB1B93" w:rsidRDefault="00CE1D33" w:rsidP="00CE1D33">
            <w:pPr>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PIB réel (%)</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0,3</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2,2</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1,7</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3,4</w:t>
            </w:r>
          </w:p>
        </w:tc>
      </w:tr>
      <w:tr w:rsidR="00CE1D33" w:rsidRPr="00BB1B93" w:rsidTr="00CE1D33">
        <w:trPr>
          <w:trHeight w:val="300"/>
          <w:jc w:val="center"/>
        </w:trPr>
        <w:tc>
          <w:tcPr>
            <w:tcW w:w="2560" w:type="dxa"/>
            <w:noWrap/>
            <w:hideMark/>
          </w:tcPr>
          <w:p w:rsidR="00CE1D33" w:rsidRPr="00BB1B93" w:rsidRDefault="00CE1D33" w:rsidP="00CE1D33">
            <w:pPr>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IPCN (%)</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2,7</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1,9</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2,1</w:t>
            </w:r>
          </w:p>
        </w:tc>
      </w:tr>
      <w:tr w:rsidR="00CE1D33" w:rsidRPr="00BB1B93" w:rsidTr="00CE1D33">
        <w:trPr>
          <w:trHeight w:val="300"/>
          <w:jc w:val="center"/>
        </w:trPr>
        <w:tc>
          <w:tcPr>
            <w:tcW w:w="2560" w:type="dxa"/>
            <w:noWrap/>
            <w:hideMark/>
          </w:tcPr>
          <w:p w:rsidR="00CE1D33" w:rsidRPr="00BB1B93" w:rsidRDefault="00CE1D33" w:rsidP="00CE1D33">
            <w:pPr>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IPCH (%)</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2,9</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2,1</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1,8</w:t>
            </w:r>
          </w:p>
        </w:tc>
      </w:tr>
      <w:tr w:rsidR="00CE1D33" w:rsidRPr="00BB1B93" w:rsidTr="00CE1D33">
        <w:trPr>
          <w:trHeight w:val="300"/>
          <w:jc w:val="center"/>
        </w:trPr>
        <w:tc>
          <w:tcPr>
            <w:tcW w:w="2560" w:type="dxa"/>
            <w:noWrap/>
            <w:hideMark/>
          </w:tcPr>
          <w:p w:rsidR="00CE1D33" w:rsidRPr="00BB1B93" w:rsidRDefault="00CE1D33" w:rsidP="00CE1D33">
            <w:pPr>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Taux de chômage (%)</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6,1</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6,7</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6,8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6,6</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6,5</w:t>
            </w:r>
          </w:p>
        </w:tc>
      </w:tr>
      <w:tr w:rsidR="00CE1D33" w:rsidRPr="00BB1B93" w:rsidTr="00CE1D33">
        <w:trPr>
          <w:trHeight w:val="300"/>
          <w:jc w:val="center"/>
        </w:trPr>
        <w:tc>
          <w:tcPr>
            <w:tcW w:w="2560" w:type="dxa"/>
            <w:hideMark/>
          </w:tcPr>
          <w:p w:rsidR="00CE1D33" w:rsidRPr="00BB1B93" w:rsidRDefault="00CE1D33" w:rsidP="00CE1D33">
            <w:pPr>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Solde public (% du PIB)</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-0,8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-0,7</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-0,6</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-1,3</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-1,3</w:t>
            </w:r>
          </w:p>
        </w:tc>
      </w:tr>
      <w:tr w:rsidR="00CE1D33" w:rsidRPr="00BB1B93" w:rsidTr="00CE1D33">
        <w:trPr>
          <w:trHeight w:val="900"/>
          <w:jc w:val="center"/>
        </w:trPr>
        <w:tc>
          <w:tcPr>
            <w:tcW w:w="2560" w:type="dxa"/>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 xml:space="preserve">        dont administration centrale (% du PIB)</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-2,6</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-2,2</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-1,8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-2,4</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-2,2</w:t>
            </w:r>
          </w:p>
        </w:tc>
      </w:tr>
      <w:tr w:rsidR="00CE1D33" w:rsidRPr="00BB1B93" w:rsidTr="00CE1D33">
        <w:trPr>
          <w:trHeight w:val="300"/>
          <w:jc w:val="center"/>
        </w:trPr>
        <w:tc>
          <w:tcPr>
            <w:tcW w:w="2560" w:type="dxa"/>
            <w:noWrap/>
            <w:hideMark/>
          </w:tcPr>
          <w:p w:rsidR="00CE1D33" w:rsidRPr="00BB1B93" w:rsidRDefault="00CE1D33" w:rsidP="00CE1D33">
            <w:pPr>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Dette publique (% du PIB)</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20,8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23,8</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25,9</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27,1</w:t>
            </w:r>
          </w:p>
        </w:tc>
        <w:tc>
          <w:tcPr>
            <w:tcW w:w="960" w:type="dxa"/>
            <w:noWrap/>
            <w:hideMark/>
          </w:tcPr>
          <w:p w:rsidR="00CE1D33" w:rsidRPr="00BB1B93" w:rsidRDefault="00CE1D33" w:rsidP="00CE1D33">
            <w:pPr>
              <w:jc w:val="right"/>
              <w:rPr>
                <w:rFonts w:ascii="Calibri" w:eastAsia="Times New Roman" w:hAnsi="Calibri" w:cs="Times New Roman"/>
                <w:color w:val="000000"/>
                <w:lang w:val="fr-FR" w:eastAsia="lb-LU"/>
              </w:rPr>
            </w:pPr>
            <w:r w:rsidRPr="00BB1B93">
              <w:rPr>
                <w:rFonts w:ascii="Calibri" w:eastAsia="Times New Roman" w:hAnsi="Calibri" w:cs="Times New Roman"/>
                <w:color w:val="000000"/>
                <w:lang w:val="fr-FR" w:eastAsia="lb-LU"/>
              </w:rPr>
              <w:t>27,9</w:t>
            </w:r>
          </w:p>
        </w:tc>
      </w:tr>
    </w:tbl>
    <w:p w:rsidR="00E559C9" w:rsidRPr="00BB1B93" w:rsidRDefault="00CE1D33" w:rsidP="00CE1D33">
      <w:pPr>
        <w:ind w:left="3600" w:firstLine="720"/>
        <w:jc w:val="center"/>
        <w:rPr>
          <w:lang w:val="fr-FR"/>
        </w:rPr>
      </w:pPr>
      <w:r w:rsidRPr="00BB1B93">
        <w:rPr>
          <w:lang w:val="fr-FR"/>
        </w:rPr>
        <w:t>Source : Ministère des Finances</w:t>
      </w:r>
    </w:p>
    <w:p w:rsidR="003F5457" w:rsidRPr="00BB1B93" w:rsidRDefault="003F5457" w:rsidP="00CE1D33">
      <w:pPr>
        <w:ind w:left="3600" w:firstLine="720"/>
        <w:jc w:val="center"/>
        <w:rPr>
          <w:lang w:val="fr-FR"/>
        </w:rPr>
      </w:pPr>
    </w:p>
    <w:p w:rsidR="003F5457" w:rsidRPr="00BB1B93" w:rsidRDefault="003F5457" w:rsidP="001952DB">
      <w:pPr>
        <w:pBdr>
          <w:top w:val="single" w:sz="4" w:space="1" w:color="auto"/>
          <w:left w:val="single" w:sz="4" w:space="4" w:color="auto"/>
          <w:bottom w:val="single" w:sz="4" w:space="1" w:color="auto"/>
          <w:right w:val="single" w:sz="4" w:space="4" w:color="auto"/>
        </w:pBdr>
        <w:rPr>
          <w:b/>
          <w:lang w:val="fr-FR"/>
        </w:rPr>
      </w:pPr>
      <w:r w:rsidRPr="00BB1B93">
        <w:rPr>
          <w:b/>
          <w:lang w:val="fr-FR"/>
        </w:rPr>
        <w:t>Encadré : écart de production et solde structurel</w:t>
      </w:r>
    </w:p>
    <w:p w:rsidR="003F5457" w:rsidRPr="00BB1B93" w:rsidRDefault="00CD0B20" w:rsidP="00FA154E">
      <w:pPr>
        <w:pBdr>
          <w:top w:val="single" w:sz="4" w:space="1" w:color="auto"/>
          <w:left w:val="single" w:sz="4" w:space="4" w:color="auto"/>
          <w:bottom w:val="single" w:sz="4" w:space="1" w:color="auto"/>
          <w:right w:val="single" w:sz="4" w:space="4" w:color="auto"/>
        </w:pBdr>
        <w:jc w:val="both"/>
        <w:rPr>
          <w:lang w:val="fr-FR"/>
        </w:rPr>
      </w:pPr>
      <w:r w:rsidRPr="00BB1B93">
        <w:rPr>
          <w:lang w:val="fr-FR"/>
        </w:rPr>
        <w:t>L’</w:t>
      </w:r>
      <w:r w:rsidRPr="00BB1B93">
        <w:rPr>
          <w:b/>
          <w:lang w:val="fr-FR"/>
        </w:rPr>
        <w:t xml:space="preserve">écart de production </w:t>
      </w:r>
      <w:r w:rsidRPr="00BB1B93">
        <w:rPr>
          <w:lang w:val="fr-FR"/>
        </w:rPr>
        <w:t xml:space="preserve">(output gap) désigne l’écart </w:t>
      </w:r>
      <w:r w:rsidR="00046994" w:rsidRPr="00BB1B93">
        <w:rPr>
          <w:lang w:val="fr-FR"/>
        </w:rPr>
        <w:t>entre la production effective d’une économie (PIB) et le niveau de production que celle-ci peut atteindre compte tenu de la main d’œuvre, du capital et de la technologie dont elle dispose, sans créer de tensions inflationniste</w:t>
      </w:r>
      <w:r w:rsidR="00C81034">
        <w:rPr>
          <w:lang w:val="fr-FR"/>
        </w:rPr>
        <w:t>s</w:t>
      </w:r>
      <w:r w:rsidR="00046994" w:rsidRPr="00BB1B93">
        <w:rPr>
          <w:lang w:val="fr-FR"/>
        </w:rPr>
        <w:t xml:space="preserve"> (PIB potentiel). </w:t>
      </w:r>
    </w:p>
    <w:p w:rsidR="003B15D5" w:rsidRPr="00BB1B93" w:rsidRDefault="003B15D5" w:rsidP="00FA154E">
      <w:pPr>
        <w:pBdr>
          <w:top w:val="single" w:sz="4" w:space="1" w:color="auto"/>
          <w:left w:val="single" w:sz="4" w:space="4" w:color="auto"/>
          <w:bottom w:val="single" w:sz="4" w:space="1" w:color="auto"/>
          <w:right w:val="single" w:sz="4" w:space="4" w:color="auto"/>
        </w:pBdr>
        <w:jc w:val="both"/>
        <w:rPr>
          <w:lang w:val="fr-FR"/>
        </w:rPr>
      </w:pPr>
      <w:r w:rsidRPr="00BB1B93">
        <w:rPr>
          <w:lang w:val="fr-FR"/>
        </w:rPr>
        <w:t>Le scénario économique à moyen terme du programme de stabilité repose sur l’idée que la croissance effective sera supérieure à la croissance potentielle entre 2014 et 2016 de telle sorte que l’écart de production ne soit que de 0</w:t>
      </w:r>
      <w:r w:rsidR="00C81034">
        <w:rPr>
          <w:lang w:val="fr-FR"/>
        </w:rPr>
        <w:t>,</w:t>
      </w:r>
      <w:r w:rsidRPr="00BB1B93">
        <w:rPr>
          <w:lang w:val="fr-FR"/>
        </w:rPr>
        <w:t>6% en 2016. Cela résulte du fait qu’avec la crise économique, le taux de croissance potentielle de l’économie luxembourgeoise ne s’élève plus qu’à 1</w:t>
      </w:r>
      <w:r w:rsidR="00C81034">
        <w:rPr>
          <w:lang w:val="fr-FR"/>
        </w:rPr>
        <w:t>,</w:t>
      </w:r>
      <w:r w:rsidRPr="00BB1B93">
        <w:rPr>
          <w:lang w:val="fr-FR"/>
        </w:rPr>
        <w:t>6% (contre 3</w:t>
      </w:r>
      <w:r w:rsidR="00C81034">
        <w:rPr>
          <w:lang w:val="fr-FR"/>
        </w:rPr>
        <w:t>,</w:t>
      </w:r>
      <w:r w:rsidRPr="00BB1B93">
        <w:rPr>
          <w:lang w:val="fr-FR"/>
        </w:rPr>
        <w:t>5%-4</w:t>
      </w:r>
      <w:r w:rsidR="00C81034">
        <w:rPr>
          <w:lang w:val="fr-FR"/>
        </w:rPr>
        <w:t>,0</w:t>
      </w:r>
      <w:r w:rsidRPr="00BB1B93">
        <w:rPr>
          <w:lang w:val="fr-FR"/>
        </w:rPr>
        <w:t>% au début des années 2000).</w:t>
      </w:r>
    </w:p>
    <w:p w:rsidR="0085759B" w:rsidRPr="00BB1B93" w:rsidRDefault="00964250" w:rsidP="00FA154E">
      <w:pPr>
        <w:pBdr>
          <w:top w:val="single" w:sz="4" w:space="1" w:color="auto"/>
          <w:left w:val="single" w:sz="4" w:space="4" w:color="auto"/>
          <w:bottom w:val="single" w:sz="4" w:space="1" w:color="auto"/>
          <w:right w:val="single" w:sz="4" w:space="4" w:color="auto"/>
        </w:pBdr>
        <w:jc w:val="both"/>
        <w:rPr>
          <w:lang w:val="fr-FR"/>
        </w:rPr>
      </w:pPr>
      <w:r w:rsidRPr="00BB1B93">
        <w:rPr>
          <w:lang w:val="fr-FR"/>
        </w:rPr>
        <w:t>Il est en outre impérieux de relever l</w:t>
      </w:r>
      <w:r w:rsidR="00434F63" w:rsidRPr="00BB1B93">
        <w:rPr>
          <w:lang w:val="fr-FR"/>
        </w:rPr>
        <w:t>e</w:t>
      </w:r>
      <w:r w:rsidRPr="00BB1B93">
        <w:rPr>
          <w:lang w:val="fr-FR"/>
        </w:rPr>
        <w:t xml:space="preserve"> potentiel de croissance au risque de voir le taux de chômage structurelleme</w:t>
      </w:r>
      <w:r w:rsidR="0085759B" w:rsidRPr="00BB1B93">
        <w:rPr>
          <w:lang w:val="fr-FR"/>
        </w:rPr>
        <w:t>nt s’installer au dessus des 7% ; cela suppose des investissements (éducation et en R&amp;D</w:t>
      </w:r>
      <w:r w:rsidR="00434F63" w:rsidRPr="00BB1B93">
        <w:rPr>
          <w:lang w:val="fr-FR"/>
        </w:rPr>
        <w:t>…</w:t>
      </w:r>
      <w:r w:rsidR="0085759B" w:rsidRPr="00BB1B93">
        <w:rPr>
          <w:lang w:val="fr-FR"/>
        </w:rPr>
        <w:t>) et des réformes structurelles (marché du travail, simplification administrative</w:t>
      </w:r>
      <w:r w:rsidR="00434F63" w:rsidRPr="00BB1B93">
        <w:rPr>
          <w:lang w:val="fr-FR"/>
        </w:rPr>
        <w:t>…</w:t>
      </w:r>
      <w:r w:rsidR="0085759B" w:rsidRPr="00BB1B93">
        <w:rPr>
          <w:lang w:val="fr-FR"/>
        </w:rPr>
        <w:t>) afin de libérer le potentiel silencieux de l’économie luxembourgeoise.</w:t>
      </w:r>
    </w:p>
    <w:p w:rsidR="0085759B" w:rsidRPr="002A3435" w:rsidRDefault="0085759B" w:rsidP="00FA154E">
      <w:pPr>
        <w:pBdr>
          <w:top w:val="single" w:sz="4" w:space="1" w:color="auto"/>
          <w:left w:val="single" w:sz="4" w:space="4" w:color="auto"/>
          <w:bottom w:val="single" w:sz="4" w:space="1" w:color="auto"/>
          <w:right w:val="single" w:sz="4" w:space="4" w:color="auto"/>
        </w:pBdr>
        <w:jc w:val="both"/>
        <w:rPr>
          <w:rFonts w:cs="MyriadPro-LightIt"/>
          <w:iCs/>
          <w:lang w:val="fr-FR"/>
        </w:rPr>
      </w:pPr>
      <w:r w:rsidRPr="00BB1B93">
        <w:rPr>
          <w:rFonts w:cs="MyriadPro-SemiboldIt"/>
          <w:iCs/>
          <w:lang w:val="fr-FR"/>
        </w:rPr>
        <w:t xml:space="preserve">Le </w:t>
      </w:r>
      <w:r w:rsidRPr="00BB1B93">
        <w:rPr>
          <w:rFonts w:cs="MyriadPro-SemiboldIt"/>
          <w:b/>
          <w:iCs/>
          <w:lang w:val="fr-FR"/>
        </w:rPr>
        <w:t>solde structurel</w:t>
      </w:r>
      <w:r w:rsidRPr="00BB1B93">
        <w:rPr>
          <w:rFonts w:cs="MyriadPro-SemiboldIt"/>
          <w:iCs/>
          <w:lang w:val="fr-FR"/>
        </w:rPr>
        <w:t xml:space="preserve"> correspond au solde public corrigé de l’impact de la conjoncture sur la situation des finances publiques. </w:t>
      </w:r>
      <w:r w:rsidRPr="00BB1B93">
        <w:rPr>
          <w:rFonts w:cs="MyriadPro-LightIt"/>
          <w:iCs/>
          <w:lang w:val="fr-FR"/>
        </w:rPr>
        <w:t xml:space="preserve">Lorsque la croissance est faible ou négative, certaines dépenses publiques </w:t>
      </w:r>
      <w:r w:rsidR="00D25F52" w:rsidRPr="00BB1B93">
        <w:rPr>
          <w:rFonts w:cs="MyriadPro-LightIt"/>
          <w:iCs/>
          <w:lang w:val="fr-FR"/>
        </w:rPr>
        <w:t xml:space="preserve">(stabilisateurs automatiques) </w:t>
      </w:r>
      <w:r w:rsidRPr="00BB1B93">
        <w:rPr>
          <w:rFonts w:cs="MyriadPro-LightIt"/>
          <w:iCs/>
          <w:lang w:val="fr-FR"/>
        </w:rPr>
        <w:t>augmentent</w:t>
      </w:r>
      <w:r w:rsidR="00D25F52" w:rsidRPr="00BB1B93">
        <w:rPr>
          <w:rFonts w:cs="MyriadPro-LightIt"/>
          <w:iCs/>
          <w:lang w:val="fr-FR"/>
        </w:rPr>
        <w:t>, il en est ainsi</w:t>
      </w:r>
      <w:r w:rsidR="00434F63" w:rsidRPr="00BB1B93">
        <w:rPr>
          <w:rFonts w:cs="MyriadPro-LightIt"/>
          <w:iCs/>
          <w:lang w:val="fr-FR"/>
        </w:rPr>
        <w:t xml:space="preserve"> par exemple</w:t>
      </w:r>
      <w:r w:rsidR="00D25F52" w:rsidRPr="00BB1B93">
        <w:rPr>
          <w:rFonts w:cs="MyriadPro-LightIt"/>
          <w:iCs/>
          <w:lang w:val="fr-FR"/>
        </w:rPr>
        <w:t xml:space="preserve"> des dépenses liées à l’indemnisation du chômage</w:t>
      </w:r>
      <w:r w:rsidRPr="00BB1B93">
        <w:rPr>
          <w:rFonts w:cs="MyriadPro-LightIt"/>
          <w:iCs/>
          <w:lang w:val="fr-FR"/>
        </w:rPr>
        <w:t xml:space="preserve">. Parallèlement, certaines recettes diminuent </w:t>
      </w:r>
      <w:r w:rsidR="00D25F52" w:rsidRPr="00BB1B93">
        <w:rPr>
          <w:rFonts w:cs="MyriadPro-LightIt"/>
          <w:iCs/>
          <w:lang w:val="fr-FR"/>
        </w:rPr>
        <w:t>(impôt sur le revenu, impôt sur les sociétés</w:t>
      </w:r>
      <w:r w:rsidR="00434F63" w:rsidRPr="00BB1B93">
        <w:rPr>
          <w:rFonts w:cs="MyriadPro-LightIt"/>
          <w:iCs/>
          <w:lang w:val="fr-FR"/>
        </w:rPr>
        <w:t>...</w:t>
      </w:r>
      <w:r w:rsidR="00D25F52" w:rsidRPr="00BB1B93">
        <w:rPr>
          <w:rFonts w:cs="MyriadPro-LightIt"/>
          <w:iCs/>
          <w:lang w:val="fr-FR"/>
        </w:rPr>
        <w:t>)</w:t>
      </w:r>
      <w:r w:rsidRPr="00BB1B93">
        <w:rPr>
          <w:rFonts w:cs="MyriadPro-LightIt"/>
          <w:iCs/>
          <w:lang w:val="fr-FR"/>
        </w:rPr>
        <w:t xml:space="preserve">. L’élimination de ces effets conjoncturels </w:t>
      </w:r>
      <w:r w:rsidR="00D25F52" w:rsidRPr="00BB1B93">
        <w:rPr>
          <w:rFonts w:cs="MyriadPro-LightIt"/>
          <w:iCs/>
          <w:lang w:val="fr-FR"/>
        </w:rPr>
        <w:t>permet</w:t>
      </w:r>
      <w:r w:rsidRPr="00BB1B93">
        <w:rPr>
          <w:rFonts w:cs="MyriadPro-LightIt"/>
          <w:iCs/>
          <w:lang w:val="fr-FR"/>
        </w:rPr>
        <w:t xml:space="preserve"> </w:t>
      </w:r>
      <w:r w:rsidR="00D25F52" w:rsidRPr="00BB1B93">
        <w:rPr>
          <w:rFonts w:cs="MyriadPro-LightIt"/>
          <w:iCs/>
          <w:lang w:val="fr-FR"/>
        </w:rPr>
        <w:t>d’</w:t>
      </w:r>
      <w:r w:rsidRPr="00BB1B93">
        <w:rPr>
          <w:rFonts w:cs="MyriadPro-LightIt"/>
          <w:iCs/>
          <w:lang w:val="fr-FR"/>
        </w:rPr>
        <w:t>évaluer la situation structurelle des finances publiques</w:t>
      </w:r>
      <w:r w:rsidR="00D25F52" w:rsidRPr="00BB1B93">
        <w:rPr>
          <w:rFonts w:cs="MyriadPro-LightIt"/>
          <w:iCs/>
          <w:lang w:val="fr-FR"/>
        </w:rPr>
        <w:t xml:space="preserve">. </w:t>
      </w:r>
      <w:r w:rsidR="00CF6089" w:rsidRPr="00BB1B93">
        <w:rPr>
          <w:rFonts w:cs="MyriadPro-LightIt"/>
          <w:iCs/>
          <w:lang w:val="fr-FR"/>
        </w:rPr>
        <w:t>Le déficit structurel des Administrations publiques luxembou</w:t>
      </w:r>
      <w:r w:rsidR="00C81034">
        <w:rPr>
          <w:rFonts w:cs="MyriadPro-LightIt"/>
          <w:iCs/>
          <w:lang w:val="fr-FR"/>
        </w:rPr>
        <w:t>rgeoises en 2016 est estimé à 1,</w:t>
      </w:r>
      <w:r w:rsidR="00CF6089" w:rsidRPr="00BB1B93">
        <w:rPr>
          <w:rFonts w:cs="MyriadPro-LightIt"/>
          <w:iCs/>
          <w:lang w:val="fr-FR"/>
        </w:rPr>
        <w:t>1% du PIB, soit un niveau supérieur aux déficits structurels estimés du Portugal, de l’Espagne ou de l’Italie.</w:t>
      </w:r>
    </w:p>
    <w:p w:rsidR="00964250" w:rsidRPr="0085759B" w:rsidRDefault="0085759B" w:rsidP="003F5457">
      <w:pPr>
        <w:rPr>
          <w:lang w:val="fr-FR"/>
        </w:rPr>
      </w:pPr>
      <w:r w:rsidRPr="0085759B">
        <w:rPr>
          <w:lang w:val="fr-FR"/>
        </w:rPr>
        <w:t xml:space="preserve"> </w:t>
      </w:r>
      <w:r w:rsidR="00964250" w:rsidRPr="0085759B">
        <w:rPr>
          <w:lang w:val="fr-FR"/>
        </w:rPr>
        <w:t xml:space="preserve">  </w:t>
      </w:r>
    </w:p>
    <w:sectPr w:rsidR="00964250" w:rsidRPr="0085759B" w:rsidSect="005512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53E" w:rsidRDefault="00ED453E" w:rsidP="008E3DB4">
      <w:pPr>
        <w:spacing w:after="0" w:line="240" w:lineRule="auto"/>
      </w:pPr>
      <w:r>
        <w:separator/>
      </w:r>
    </w:p>
  </w:endnote>
  <w:endnote w:type="continuationSeparator" w:id="0">
    <w:p w:rsidR="00ED453E" w:rsidRDefault="00ED453E" w:rsidP="008E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SemiboldIt">
    <w:panose1 w:val="00000000000000000000"/>
    <w:charset w:val="00"/>
    <w:family w:val="swiss"/>
    <w:notTrueType/>
    <w:pitch w:val="default"/>
    <w:sig w:usb0="00000003" w:usb1="00000000" w:usb2="00000000" w:usb3="00000000" w:csb0="00000001" w:csb1="00000000"/>
  </w:font>
  <w:font w:name="MyriadPro-Light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53E" w:rsidRDefault="00ED453E" w:rsidP="008E3DB4">
      <w:pPr>
        <w:spacing w:after="0" w:line="240" w:lineRule="auto"/>
      </w:pPr>
      <w:r>
        <w:separator/>
      </w:r>
    </w:p>
  </w:footnote>
  <w:footnote w:type="continuationSeparator" w:id="0">
    <w:p w:rsidR="00ED453E" w:rsidRDefault="00ED453E" w:rsidP="008E3DB4">
      <w:pPr>
        <w:spacing w:after="0" w:line="240" w:lineRule="auto"/>
      </w:pPr>
      <w:r>
        <w:continuationSeparator/>
      </w:r>
    </w:p>
  </w:footnote>
  <w:footnote w:id="1">
    <w:p w:rsidR="00ED453E" w:rsidRPr="000034F8" w:rsidRDefault="00ED453E">
      <w:pPr>
        <w:pStyle w:val="FootnoteText"/>
        <w:rPr>
          <w:sz w:val="16"/>
          <w:szCs w:val="16"/>
          <w:lang w:val="fr-FR"/>
        </w:rPr>
      </w:pPr>
      <w:r w:rsidRPr="000034F8">
        <w:rPr>
          <w:rStyle w:val="FootnoteReference"/>
          <w:sz w:val="16"/>
          <w:szCs w:val="16"/>
          <w:lang w:val="fr-FR"/>
        </w:rPr>
        <w:footnoteRef/>
      </w:r>
      <w:r w:rsidRPr="000034F8">
        <w:rPr>
          <w:sz w:val="16"/>
          <w:szCs w:val="16"/>
          <w:lang w:val="fr-FR"/>
        </w:rPr>
        <w:t xml:space="preserve"> La croissance potentielle qui peut être définie comme celle réalisant le niveau maximal de production sans tension inflationniste com</w:t>
      </w:r>
      <w:r>
        <w:rPr>
          <w:sz w:val="16"/>
          <w:szCs w:val="16"/>
          <w:lang w:val="fr-FR"/>
        </w:rPr>
        <w:t>p</w:t>
      </w:r>
      <w:r w:rsidRPr="000034F8">
        <w:rPr>
          <w:sz w:val="16"/>
          <w:szCs w:val="16"/>
          <w:lang w:val="fr-FR"/>
        </w:rPr>
        <w:t>te tenu des capacités de production et de progrès technique est estimée à 1,6% au Luxembourg.</w:t>
      </w:r>
    </w:p>
  </w:footnote>
  <w:footnote w:id="2">
    <w:p w:rsidR="00ED453E" w:rsidRPr="00A215DB" w:rsidRDefault="00ED453E" w:rsidP="00E26273">
      <w:pPr>
        <w:pStyle w:val="FootnoteText"/>
        <w:jc w:val="both"/>
        <w:rPr>
          <w:sz w:val="16"/>
          <w:szCs w:val="16"/>
          <w:lang w:val="fr-FR"/>
        </w:rPr>
      </w:pPr>
      <w:r w:rsidRPr="00D774F2">
        <w:rPr>
          <w:rStyle w:val="FootnoteReference"/>
          <w:sz w:val="16"/>
          <w:szCs w:val="16"/>
        </w:rPr>
        <w:footnoteRef/>
      </w:r>
      <w:r w:rsidRPr="00D774F2">
        <w:rPr>
          <w:sz w:val="16"/>
          <w:szCs w:val="16"/>
        </w:rPr>
        <w:t xml:space="preserve"> </w:t>
      </w:r>
      <w:r w:rsidRPr="001952DB">
        <w:rPr>
          <w:sz w:val="16"/>
          <w:szCs w:val="16"/>
          <w:lang w:val="fr-FR"/>
        </w:rPr>
        <w:t>A partir du 1er janvier 2015, les recettes TVA sur le commerce électronique ne seront plus affectées aux budgets en vertu du principe de résidence de prestataire de service, mais en vertu du principe de résidence du consommateur. L’impact négatif de cette mesure sur les finances publiques luxembourgeoise</w:t>
      </w:r>
      <w:r>
        <w:rPr>
          <w:sz w:val="16"/>
          <w:szCs w:val="16"/>
          <w:lang w:val="fr-FR"/>
        </w:rPr>
        <w:t>s</w:t>
      </w:r>
      <w:r w:rsidRPr="001952DB">
        <w:rPr>
          <w:sz w:val="16"/>
          <w:szCs w:val="16"/>
          <w:lang w:val="fr-FR"/>
        </w:rPr>
        <w:t xml:space="preserve"> est estimé à 1</w:t>
      </w:r>
      <w:r>
        <w:rPr>
          <w:sz w:val="16"/>
          <w:szCs w:val="16"/>
          <w:lang w:val="fr-FR"/>
        </w:rPr>
        <w:t>,4</w:t>
      </w:r>
      <w:r w:rsidRPr="001952DB">
        <w:rPr>
          <w:sz w:val="16"/>
          <w:szCs w:val="16"/>
          <w:lang w:val="fr-FR"/>
        </w:rPr>
        <w:t>%</w:t>
      </w:r>
      <w:r>
        <w:rPr>
          <w:sz w:val="16"/>
          <w:szCs w:val="16"/>
          <w:lang w:val="fr-FR"/>
        </w:rPr>
        <w:t xml:space="preserve"> du PIB</w:t>
      </w:r>
      <w:r w:rsidRPr="001952DB">
        <w:rPr>
          <w:sz w:val="16"/>
          <w:szCs w:val="16"/>
          <w:lang w:val="fr-FR"/>
        </w:rPr>
        <w:t xml:space="preserve"> par an.</w:t>
      </w:r>
    </w:p>
  </w:footnote>
  <w:footnote w:id="3">
    <w:p w:rsidR="00ED453E" w:rsidRDefault="00ED453E" w:rsidP="00E26273">
      <w:pPr>
        <w:pStyle w:val="FootnoteText"/>
        <w:jc w:val="both"/>
      </w:pPr>
      <w:r w:rsidRPr="00A215DB">
        <w:rPr>
          <w:rStyle w:val="FootnoteReference"/>
          <w:sz w:val="16"/>
          <w:szCs w:val="16"/>
        </w:rPr>
        <w:footnoteRef/>
      </w:r>
      <w:r w:rsidRPr="00A215DB">
        <w:rPr>
          <w:sz w:val="16"/>
          <w:szCs w:val="16"/>
        </w:rPr>
        <w:t xml:space="preserve"> L’objectif budgétaire à moyen terme</w:t>
      </w:r>
      <w:r>
        <w:rPr>
          <w:sz w:val="16"/>
          <w:szCs w:val="16"/>
        </w:rPr>
        <w:t xml:space="preserve"> (OMT) correspond au solde structurel qui, compte tenu du potentiel de croissance, des passifs implicites et du niveau de dette, assure la viabilité des finances publiques.Dans le cas du Luxembourg, l’OMT est un solde structuel positif de 0,5% du PIB.</w:t>
      </w:r>
    </w:p>
  </w:footnote>
  <w:footnote w:id="4">
    <w:p w:rsidR="00ED453E" w:rsidRPr="00F01EF3" w:rsidRDefault="00ED453E" w:rsidP="00E26273">
      <w:pPr>
        <w:pStyle w:val="FootnoteText"/>
        <w:jc w:val="both"/>
        <w:rPr>
          <w:sz w:val="16"/>
          <w:szCs w:val="16"/>
        </w:rPr>
      </w:pPr>
      <w:r w:rsidRPr="001952DB">
        <w:rPr>
          <w:rStyle w:val="FootnoteReference"/>
          <w:sz w:val="16"/>
          <w:szCs w:val="16"/>
          <w:lang w:val="fr-FR"/>
        </w:rPr>
        <w:footnoteRef/>
      </w:r>
      <w:r w:rsidRPr="001952DB">
        <w:rPr>
          <w:sz w:val="16"/>
          <w:szCs w:val="16"/>
          <w:lang w:val="fr-FR"/>
        </w:rPr>
        <w:t xml:space="preserve"> Moyenne calculée sur les programmes de 2010, 2011 et 2012</w:t>
      </w:r>
      <w:r>
        <w:rPr>
          <w:sz w:val="16"/>
          <w:szCs w:val="16"/>
          <w:lang w:val="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784"/>
    <w:multiLevelType w:val="hybridMultilevel"/>
    <w:tmpl w:val="4ADAF308"/>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58777F"/>
    <w:rsid w:val="000024D3"/>
    <w:rsid w:val="000034F8"/>
    <w:rsid w:val="00014367"/>
    <w:rsid w:val="00046994"/>
    <w:rsid w:val="000B7CB0"/>
    <w:rsid w:val="00112E1D"/>
    <w:rsid w:val="0013317A"/>
    <w:rsid w:val="001952DB"/>
    <w:rsid w:val="001B2CC0"/>
    <w:rsid w:val="001C0ABD"/>
    <w:rsid w:val="001F003E"/>
    <w:rsid w:val="0021365E"/>
    <w:rsid w:val="0021642B"/>
    <w:rsid w:val="002250E1"/>
    <w:rsid w:val="00256E8F"/>
    <w:rsid w:val="00293CCC"/>
    <w:rsid w:val="002A3435"/>
    <w:rsid w:val="00313E11"/>
    <w:rsid w:val="00353D90"/>
    <w:rsid w:val="003B15D5"/>
    <w:rsid w:val="003D2151"/>
    <w:rsid w:val="003E4865"/>
    <w:rsid w:val="003F5457"/>
    <w:rsid w:val="0041261C"/>
    <w:rsid w:val="00434F63"/>
    <w:rsid w:val="0045674B"/>
    <w:rsid w:val="004664AD"/>
    <w:rsid w:val="004A0482"/>
    <w:rsid w:val="005512B7"/>
    <w:rsid w:val="005804BF"/>
    <w:rsid w:val="0058777F"/>
    <w:rsid w:val="00594B64"/>
    <w:rsid w:val="006C676B"/>
    <w:rsid w:val="006D2F9B"/>
    <w:rsid w:val="007329D5"/>
    <w:rsid w:val="007447A0"/>
    <w:rsid w:val="00756DE0"/>
    <w:rsid w:val="00782FCC"/>
    <w:rsid w:val="00797343"/>
    <w:rsid w:val="007B2E2B"/>
    <w:rsid w:val="00833E56"/>
    <w:rsid w:val="0085759B"/>
    <w:rsid w:val="008D213E"/>
    <w:rsid w:val="008E3DB4"/>
    <w:rsid w:val="008F5C4F"/>
    <w:rsid w:val="0092763A"/>
    <w:rsid w:val="00964250"/>
    <w:rsid w:val="00A215DB"/>
    <w:rsid w:val="00A36B7A"/>
    <w:rsid w:val="00A374A9"/>
    <w:rsid w:val="00A559C0"/>
    <w:rsid w:val="00A75CC9"/>
    <w:rsid w:val="00A93A68"/>
    <w:rsid w:val="00AD5813"/>
    <w:rsid w:val="00AE45F6"/>
    <w:rsid w:val="00B83CD7"/>
    <w:rsid w:val="00BB1B93"/>
    <w:rsid w:val="00BB6727"/>
    <w:rsid w:val="00BD68F6"/>
    <w:rsid w:val="00BE2730"/>
    <w:rsid w:val="00C15A59"/>
    <w:rsid w:val="00C205F6"/>
    <w:rsid w:val="00C270F9"/>
    <w:rsid w:val="00C474BA"/>
    <w:rsid w:val="00C761FF"/>
    <w:rsid w:val="00C81034"/>
    <w:rsid w:val="00CA5026"/>
    <w:rsid w:val="00CB5631"/>
    <w:rsid w:val="00CD0B20"/>
    <w:rsid w:val="00CD0BC6"/>
    <w:rsid w:val="00CE1D33"/>
    <w:rsid w:val="00CE66EF"/>
    <w:rsid w:val="00CF6089"/>
    <w:rsid w:val="00D038CB"/>
    <w:rsid w:val="00D25F52"/>
    <w:rsid w:val="00D35C69"/>
    <w:rsid w:val="00D774F2"/>
    <w:rsid w:val="00DA6370"/>
    <w:rsid w:val="00E04C70"/>
    <w:rsid w:val="00E26273"/>
    <w:rsid w:val="00E559C9"/>
    <w:rsid w:val="00ED453E"/>
    <w:rsid w:val="00F01EF3"/>
    <w:rsid w:val="00F55213"/>
    <w:rsid w:val="00F61A70"/>
    <w:rsid w:val="00FA154E"/>
    <w:rsid w:val="00FE01B0"/>
  </w:rsids>
  <m:mathPr>
    <m:mathFont m:val="Cambria Math"/>
    <m:brkBin m:val="before"/>
    <m:brkBinSub m:val="--"/>
    <m:smallFrac m:val="off"/>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3D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DB4"/>
    <w:rPr>
      <w:sz w:val="20"/>
      <w:szCs w:val="20"/>
    </w:rPr>
  </w:style>
  <w:style w:type="character" w:styleId="FootnoteReference">
    <w:name w:val="footnote reference"/>
    <w:basedOn w:val="DefaultParagraphFont"/>
    <w:uiPriority w:val="99"/>
    <w:semiHidden/>
    <w:unhideWhenUsed/>
    <w:rsid w:val="008E3DB4"/>
    <w:rPr>
      <w:vertAlign w:val="superscript"/>
    </w:rPr>
  </w:style>
  <w:style w:type="paragraph" w:styleId="BalloonText">
    <w:name w:val="Balloon Text"/>
    <w:basedOn w:val="Normal"/>
    <w:link w:val="BalloonTextChar"/>
    <w:uiPriority w:val="99"/>
    <w:semiHidden/>
    <w:unhideWhenUsed/>
    <w:rsid w:val="00E5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9C9"/>
    <w:rPr>
      <w:rFonts w:ascii="Tahoma" w:hAnsi="Tahoma" w:cs="Tahoma"/>
      <w:sz w:val="16"/>
      <w:szCs w:val="16"/>
    </w:rPr>
  </w:style>
  <w:style w:type="table" w:styleId="TableGrid">
    <w:name w:val="Table Grid"/>
    <w:basedOn w:val="TableNormal"/>
    <w:uiPriority w:val="59"/>
    <w:rsid w:val="00CE1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B7A"/>
    <w:pPr>
      <w:ind w:left="720"/>
      <w:contextualSpacing/>
    </w:pPr>
  </w:style>
</w:styles>
</file>

<file path=word/webSettings.xml><?xml version="1.0" encoding="utf-8"?>
<w:webSettings xmlns:r="http://schemas.openxmlformats.org/officeDocument/2006/relationships" xmlns:w="http://schemas.openxmlformats.org/wordprocessingml/2006/main">
  <w:divs>
    <w:div w:id="586573401">
      <w:bodyDiv w:val="1"/>
      <w:marLeft w:val="0"/>
      <w:marRight w:val="0"/>
      <w:marTop w:val="0"/>
      <w:marBottom w:val="0"/>
      <w:divBdr>
        <w:top w:val="none" w:sz="0" w:space="0" w:color="auto"/>
        <w:left w:val="none" w:sz="0" w:space="0" w:color="auto"/>
        <w:bottom w:val="none" w:sz="0" w:space="0" w:color="auto"/>
        <w:right w:val="none" w:sz="0" w:space="0" w:color="auto"/>
      </w:divBdr>
    </w:div>
    <w:div w:id="21269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FA7C0-D221-4DFC-9DE1-CB4D41E6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c:creator>
  <cp:lastModifiedBy>rmi</cp:lastModifiedBy>
  <cp:revision>9</cp:revision>
  <cp:lastPrinted>2013-05-24T08:56:00Z</cp:lastPrinted>
  <dcterms:created xsi:type="dcterms:W3CDTF">2013-05-24T08:30:00Z</dcterms:created>
  <dcterms:modified xsi:type="dcterms:W3CDTF">2013-05-24T11:21:00Z</dcterms:modified>
</cp:coreProperties>
</file>