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D2" w:rsidRDefault="00AE55D2" w:rsidP="00BE54ED">
      <w:pPr>
        <w:spacing w:after="0" w:line="259" w:lineRule="auto"/>
        <w:rPr>
          <w:rFonts w:ascii="Arial" w:hAnsi="Arial" w:cs="Arial"/>
          <w:i/>
        </w:rPr>
      </w:pPr>
      <w:r w:rsidRPr="00AE55D2">
        <w:rPr>
          <w:rFonts w:ascii="Arial" w:hAnsi="Arial" w:cs="Arial"/>
          <w:i/>
          <w:noProof/>
          <w:lang w:val="en-US"/>
        </w:rPr>
        <w:drawing>
          <wp:anchor distT="0" distB="0" distL="114300" distR="114300" simplePos="0" relativeHeight="251658240" behindDoc="0" locked="0" layoutInCell="1" allowOverlap="1">
            <wp:simplePos x="0" y="0"/>
            <wp:positionH relativeFrom="column">
              <wp:posOffset>-180340</wp:posOffset>
            </wp:positionH>
            <wp:positionV relativeFrom="paragraph">
              <wp:posOffset>-170815</wp:posOffset>
            </wp:positionV>
            <wp:extent cx="1198245" cy="695325"/>
            <wp:effectExtent l="19050" t="0" r="1905" b="0"/>
            <wp:wrapNone/>
            <wp:docPr id="10" name="Picture 1" descr="Logo cdc 03 vect noi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 vect noir eps"/>
                    <pic:cNvPicPr>
                      <a:picLocks noChangeAspect="1" noChangeArrowheads="1"/>
                    </pic:cNvPicPr>
                  </pic:nvPicPr>
                  <pic:blipFill>
                    <a:blip r:embed="rId8" cstate="print"/>
                    <a:srcRect/>
                    <a:stretch>
                      <a:fillRect/>
                    </a:stretch>
                  </pic:blipFill>
                  <pic:spPr bwMode="auto">
                    <a:xfrm>
                      <a:off x="0" y="0"/>
                      <a:ext cx="1198245" cy="695325"/>
                    </a:xfrm>
                    <a:prstGeom prst="rect">
                      <a:avLst/>
                    </a:prstGeom>
                    <a:noFill/>
                    <a:ln w="9525">
                      <a:noFill/>
                      <a:miter lim="800000"/>
                      <a:headEnd/>
                      <a:tailEnd/>
                    </a:ln>
                  </pic:spPr>
                </pic:pic>
              </a:graphicData>
            </a:graphic>
          </wp:anchor>
        </w:drawing>
      </w:r>
    </w:p>
    <w:p w:rsidR="00AE55D2" w:rsidRDefault="00AE55D2" w:rsidP="00BE54ED">
      <w:pPr>
        <w:spacing w:after="0" w:line="259" w:lineRule="auto"/>
        <w:rPr>
          <w:rFonts w:ascii="Arial" w:hAnsi="Arial" w:cs="Arial"/>
          <w:i/>
        </w:rPr>
      </w:pPr>
    </w:p>
    <w:p w:rsidR="00434CB6" w:rsidRPr="000E1821" w:rsidRDefault="000E1821" w:rsidP="00BE54ED">
      <w:pPr>
        <w:spacing w:after="0" w:line="259" w:lineRule="auto"/>
        <w:jc w:val="right"/>
        <w:rPr>
          <w:rFonts w:ascii="Arial" w:hAnsi="Arial" w:cs="Arial"/>
          <w:b/>
          <w:sz w:val="24"/>
          <w:szCs w:val="24"/>
          <w:u w:val="single"/>
        </w:rPr>
      </w:pPr>
      <w:r w:rsidRPr="000E1821">
        <w:rPr>
          <w:rFonts w:ascii="Arial" w:hAnsi="Arial" w:cs="Arial"/>
          <w:b/>
          <w:i/>
        </w:rPr>
        <w:t>C</w:t>
      </w:r>
      <w:r w:rsidR="004E3B1C" w:rsidRPr="000E1821">
        <w:rPr>
          <w:rFonts w:ascii="Arial" w:hAnsi="Arial" w:cs="Arial"/>
          <w:b/>
          <w:i/>
        </w:rPr>
        <w:t>ommuni</w:t>
      </w:r>
      <w:r w:rsidR="00AE55D2" w:rsidRPr="000E1821">
        <w:rPr>
          <w:rFonts w:ascii="Arial" w:hAnsi="Arial" w:cs="Arial"/>
          <w:b/>
          <w:i/>
        </w:rPr>
        <w:t>qué</w:t>
      </w:r>
      <w:r w:rsidR="004E3B1C" w:rsidRPr="000E1821">
        <w:rPr>
          <w:rFonts w:ascii="Arial" w:hAnsi="Arial" w:cs="Arial"/>
          <w:b/>
          <w:i/>
        </w:rPr>
        <w:t xml:space="preserve"> de presse du </w:t>
      </w:r>
      <w:r w:rsidR="00552798" w:rsidRPr="000E1821">
        <w:rPr>
          <w:rFonts w:ascii="Arial" w:hAnsi="Arial" w:cs="Arial"/>
          <w:b/>
          <w:i/>
        </w:rPr>
        <w:t>3</w:t>
      </w:r>
      <w:r w:rsidR="004E3B1C" w:rsidRPr="000E1821">
        <w:rPr>
          <w:rFonts w:ascii="Arial" w:hAnsi="Arial" w:cs="Arial"/>
          <w:b/>
          <w:i/>
        </w:rPr>
        <w:t xml:space="preserve"> </w:t>
      </w:r>
      <w:r w:rsidR="00552798" w:rsidRPr="000E1821">
        <w:rPr>
          <w:rFonts w:ascii="Arial" w:hAnsi="Arial" w:cs="Arial"/>
          <w:b/>
          <w:i/>
        </w:rPr>
        <w:t>septembre</w:t>
      </w:r>
      <w:r w:rsidR="004E3B1C" w:rsidRPr="000E1821">
        <w:rPr>
          <w:rFonts w:ascii="Arial" w:hAnsi="Arial" w:cs="Arial"/>
          <w:b/>
          <w:i/>
        </w:rPr>
        <w:t xml:space="preserve"> 201</w:t>
      </w:r>
      <w:r w:rsidR="00AE55D2" w:rsidRPr="000E1821">
        <w:rPr>
          <w:rFonts w:ascii="Arial" w:hAnsi="Arial" w:cs="Arial"/>
          <w:b/>
          <w:i/>
        </w:rPr>
        <w:t>4</w:t>
      </w:r>
    </w:p>
    <w:p w:rsidR="00C05581" w:rsidRPr="008535CD" w:rsidRDefault="00C05581" w:rsidP="00BE54ED">
      <w:pPr>
        <w:spacing w:after="0" w:line="259" w:lineRule="auto"/>
        <w:jc w:val="both"/>
        <w:outlineLvl w:val="1"/>
        <w:rPr>
          <w:rFonts w:ascii="Arial" w:hAnsi="Arial" w:cs="Arial"/>
          <w:b/>
          <w:sz w:val="24"/>
          <w:szCs w:val="24"/>
          <w:u w:val="single"/>
        </w:rPr>
      </w:pPr>
    </w:p>
    <w:p w:rsidR="00C05581" w:rsidRPr="008535CD" w:rsidRDefault="00C05581" w:rsidP="00BE54ED">
      <w:pPr>
        <w:spacing w:after="0" w:line="259" w:lineRule="auto"/>
        <w:jc w:val="both"/>
        <w:outlineLvl w:val="1"/>
        <w:rPr>
          <w:rFonts w:ascii="Arial" w:hAnsi="Arial" w:cs="Arial"/>
          <w:b/>
          <w:sz w:val="24"/>
          <w:szCs w:val="24"/>
          <w:u w:val="single"/>
        </w:rPr>
      </w:pPr>
    </w:p>
    <w:p w:rsidR="00552798" w:rsidRDefault="00552798" w:rsidP="00BE54ED">
      <w:pPr>
        <w:spacing w:after="0" w:line="259" w:lineRule="auto"/>
        <w:jc w:val="both"/>
        <w:outlineLvl w:val="1"/>
        <w:rPr>
          <w:rFonts w:ascii="Arial" w:hAnsi="Arial" w:cs="Arial"/>
          <w:b/>
          <w:sz w:val="24"/>
          <w:szCs w:val="24"/>
          <w:u w:val="single"/>
          <w:lang w:val="en-US"/>
        </w:rPr>
      </w:pPr>
      <w:r w:rsidRPr="00552798">
        <w:rPr>
          <w:rFonts w:ascii="Arial" w:hAnsi="Arial" w:cs="Arial"/>
          <w:b/>
          <w:sz w:val="24"/>
          <w:szCs w:val="24"/>
          <w:u w:val="single"/>
          <w:lang w:val="en-US"/>
        </w:rPr>
        <w:t xml:space="preserve">World Economic Forum </w:t>
      </w:r>
      <w:r w:rsidR="009E7DCD">
        <w:rPr>
          <w:rFonts w:ascii="Arial" w:hAnsi="Arial" w:cs="Arial"/>
          <w:b/>
          <w:sz w:val="24"/>
          <w:szCs w:val="24"/>
          <w:u w:val="single"/>
          <w:lang w:val="en-US"/>
        </w:rPr>
        <w:t>-</w:t>
      </w:r>
      <w:r w:rsidRPr="00552798">
        <w:rPr>
          <w:rFonts w:ascii="Arial" w:hAnsi="Arial" w:cs="Arial"/>
          <w:b/>
          <w:sz w:val="24"/>
          <w:szCs w:val="24"/>
          <w:u w:val="single"/>
          <w:lang w:val="en-US"/>
        </w:rPr>
        <w:t xml:space="preserve"> « Global Competitiveness Report</w:t>
      </w:r>
      <w:r w:rsidR="00B60F84">
        <w:rPr>
          <w:rFonts w:ascii="Arial" w:hAnsi="Arial" w:cs="Arial"/>
          <w:b/>
          <w:sz w:val="24"/>
          <w:szCs w:val="24"/>
          <w:u w:val="single"/>
          <w:lang w:val="en-US"/>
        </w:rPr>
        <w:t xml:space="preserve"> (GCR)</w:t>
      </w:r>
      <w:r w:rsidRPr="00552798">
        <w:rPr>
          <w:rFonts w:ascii="Arial" w:hAnsi="Arial" w:cs="Arial"/>
          <w:b/>
          <w:sz w:val="24"/>
          <w:szCs w:val="24"/>
          <w:u w:val="single"/>
          <w:lang w:val="en-US"/>
        </w:rPr>
        <w:t> » 2014-2015</w:t>
      </w:r>
    </w:p>
    <w:p w:rsidR="008B2E12" w:rsidRPr="00C05581" w:rsidRDefault="008B2E12" w:rsidP="00BE54ED">
      <w:pPr>
        <w:spacing w:after="0" w:line="259" w:lineRule="auto"/>
        <w:jc w:val="both"/>
        <w:outlineLvl w:val="1"/>
        <w:rPr>
          <w:rFonts w:ascii="Arial" w:eastAsia="Times New Roman" w:hAnsi="Arial" w:cs="Arial"/>
          <w:lang w:val="en-US" w:eastAsia="fr-LU"/>
        </w:rPr>
      </w:pPr>
    </w:p>
    <w:p w:rsidR="00552798" w:rsidRDefault="009E7DCD" w:rsidP="00B040C1">
      <w:pPr>
        <w:spacing w:after="0" w:line="259" w:lineRule="auto"/>
        <w:rPr>
          <w:rFonts w:ascii="Arial" w:hAnsi="Arial" w:cs="Arial"/>
          <w:b/>
          <w:sz w:val="44"/>
          <w:szCs w:val="44"/>
        </w:rPr>
      </w:pPr>
      <w:r w:rsidRPr="00B040C1">
        <w:rPr>
          <w:rFonts w:ascii="Arial" w:hAnsi="Arial" w:cs="Arial"/>
          <w:b/>
          <w:sz w:val="44"/>
          <w:szCs w:val="44"/>
        </w:rPr>
        <w:t>La compétitivité du Luxembourg reprend quelques couleurs</w:t>
      </w:r>
    </w:p>
    <w:p w:rsidR="00B040C1" w:rsidRPr="00B040C1" w:rsidRDefault="00B040C1" w:rsidP="000E1821">
      <w:pPr>
        <w:spacing w:after="0" w:line="259" w:lineRule="auto"/>
        <w:jc w:val="both"/>
        <w:rPr>
          <w:rFonts w:ascii="Arial" w:hAnsi="Arial" w:cs="Arial"/>
          <w:b/>
          <w:sz w:val="24"/>
          <w:szCs w:val="24"/>
        </w:rPr>
      </w:pPr>
    </w:p>
    <w:p w:rsidR="00434CB6" w:rsidRDefault="000D3681" w:rsidP="00BE54ED">
      <w:pPr>
        <w:pBdr>
          <w:top w:val="single" w:sz="4" w:space="1" w:color="auto"/>
          <w:left w:val="single" w:sz="4" w:space="4" w:color="auto"/>
          <w:bottom w:val="single" w:sz="4" w:space="1" w:color="auto"/>
          <w:right w:val="single" w:sz="4" w:space="4" w:color="auto"/>
        </w:pBdr>
        <w:spacing w:after="0" w:line="259" w:lineRule="auto"/>
        <w:jc w:val="both"/>
        <w:outlineLvl w:val="1"/>
        <w:rPr>
          <w:rFonts w:ascii="Arial" w:eastAsia="Times New Roman" w:hAnsi="Arial" w:cs="Arial"/>
          <w:lang w:eastAsia="fr-LU"/>
        </w:rPr>
      </w:pPr>
      <w:r>
        <w:rPr>
          <w:rFonts w:ascii="Arial" w:eastAsia="Times New Roman" w:hAnsi="Arial" w:cs="Arial"/>
          <w:lang w:eastAsia="fr-LU"/>
        </w:rPr>
        <w:t>Début</w:t>
      </w:r>
      <w:r w:rsidR="00B60F84">
        <w:rPr>
          <w:rFonts w:ascii="Arial" w:eastAsia="Times New Roman" w:hAnsi="Arial" w:cs="Arial"/>
          <w:lang w:eastAsia="fr-LU"/>
        </w:rPr>
        <w:t xml:space="preserve"> septembre</w:t>
      </w:r>
      <w:r w:rsidR="009B2CAB" w:rsidRPr="00B15430">
        <w:rPr>
          <w:rFonts w:ascii="Arial" w:eastAsia="Times New Roman" w:hAnsi="Arial" w:cs="Arial"/>
          <w:lang w:eastAsia="fr-LU"/>
        </w:rPr>
        <w:t xml:space="preserve"> 2014, le </w:t>
      </w:r>
      <w:r w:rsidR="00B60F84" w:rsidRPr="00B60F84">
        <w:rPr>
          <w:rFonts w:ascii="Arial" w:eastAsia="Times New Roman" w:hAnsi="Arial" w:cs="Arial"/>
          <w:lang w:eastAsia="fr-LU"/>
        </w:rPr>
        <w:t>«</w:t>
      </w:r>
      <w:r w:rsidR="00B60F84">
        <w:rPr>
          <w:rFonts w:ascii="Arial" w:eastAsia="Times New Roman" w:hAnsi="Arial" w:cs="Arial"/>
          <w:lang w:eastAsia="fr-LU"/>
        </w:rPr>
        <w:t> </w:t>
      </w:r>
      <w:r w:rsidR="009B2CAB" w:rsidRPr="00B15430">
        <w:rPr>
          <w:rFonts w:ascii="Arial" w:eastAsia="Times New Roman" w:hAnsi="Arial" w:cs="Arial"/>
          <w:i/>
          <w:iCs/>
          <w:lang w:eastAsia="fr-LU"/>
        </w:rPr>
        <w:t xml:space="preserve">World </w:t>
      </w:r>
      <w:proofErr w:type="spellStart"/>
      <w:r w:rsidR="009B2CAB" w:rsidRPr="00B15430">
        <w:rPr>
          <w:rFonts w:ascii="Arial" w:eastAsia="Times New Roman" w:hAnsi="Arial" w:cs="Arial"/>
          <w:i/>
          <w:iCs/>
          <w:lang w:eastAsia="fr-LU"/>
        </w:rPr>
        <w:t>Economic</w:t>
      </w:r>
      <w:proofErr w:type="spellEnd"/>
      <w:r w:rsidR="009B2CAB" w:rsidRPr="00B15430">
        <w:rPr>
          <w:rFonts w:ascii="Arial" w:eastAsia="Times New Roman" w:hAnsi="Arial" w:cs="Arial"/>
          <w:i/>
          <w:iCs/>
          <w:lang w:eastAsia="fr-LU"/>
        </w:rPr>
        <w:t xml:space="preserve"> Forum</w:t>
      </w:r>
      <w:r w:rsidR="00B60F84">
        <w:rPr>
          <w:rFonts w:ascii="Arial" w:eastAsia="Times New Roman" w:hAnsi="Arial" w:cs="Arial"/>
          <w:iCs/>
          <w:lang w:eastAsia="fr-LU"/>
        </w:rPr>
        <w:t> »</w:t>
      </w:r>
      <w:r w:rsidR="009B2CAB" w:rsidRPr="00B15430">
        <w:rPr>
          <w:rFonts w:ascii="Arial" w:eastAsia="Times New Roman" w:hAnsi="Arial" w:cs="Arial"/>
          <w:lang w:eastAsia="fr-LU"/>
        </w:rPr>
        <w:t xml:space="preserve"> (</w:t>
      </w:r>
      <w:r w:rsidR="00B60F84">
        <w:rPr>
          <w:rFonts w:ascii="Arial" w:eastAsia="Times New Roman" w:hAnsi="Arial" w:cs="Arial"/>
          <w:lang w:eastAsia="fr-LU"/>
        </w:rPr>
        <w:t xml:space="preserve">Forum économique mondial, </w:t>
      </w:r>
      <w:r w:rsidR="009B2CAB" w:rsidRPr="00B15430">
        <w:rPr>
          <w:rFonts w:ascii="Arial" w:eastAsia="Times New Roman" w:hAnsi="Arial" w:cs="Arial"/>
          <w:lang w:eastAsia="fr-LU"/>
        </w:rPr>
        <w:t>WEF), dans son « </w:t>
      </w:r>
      <w:r w:rsidR="00A01000" w:rsidRPr="00A01000">
        <w:rPr>
          <w:rFonts w:ascii="Arial" w:eastAsia="Times New Roman" w:hAnsi="Arial" w:cs="Arial"/>
          <w:i/>
          <w:lang w:eastAsia="fr-LU"/>
        </w:rPr>
        <w:t xml:space="preserve">Global </w:t>
      </w:r>
      <w:proofErr w:type="spellStart"/>
      <w:r w:rsidR="00A01000" w:rsidRPr="00A01000">
        <w:rPr>
          <w:rFonts w:ascii="Arial" w:eastAsia="Times New Roman" w:hAnsi="Arial" w:cs="Arial"/>
          <w:i/>
          <w:lang w:eastAsia="fr-LU"/>
        </w:rPr>
        <w:t>Competitiveness</w:t>
      </w:r>
      <w:proofErr w:type="spellEnd"/>
      <w:r w:rsidR="00A01000" w:rsidRPr="00A01000">
        <w:rPr>
          <w:rFonts w:ascii="Arial" w:eastAsia="Times New Roman" w:hAnsi="Arial" w:cs="Arial"/>
          <w:i/>
          <w:lang w:eastAsia="fr-LU"/>
        </w:rPr>
        <w:t xml:space="preserve"> Report 2014-2015</w:t>
      </w:r>
      <w:r w:rsidR="009B2CAB" w:rsidRPr="00B15430">
        <w:rPr>
          <w:rFonts w:ascii="Arial" w:eastAsia="Times New Roman" w:hAnsi="Arial" w:cs="Arial"/>
          <w:lang w:eastAsia="fr-LU"/>
        </w:rPr>
        <w:t> »</w:t>
      </w:r>
      <w:r w:rsidR="004E4918">
        <w:rPr>
          <w:rFonts w:ascii="Arial" w:eastAsia="Times New Roman" w:hAnsi="Arial" w:cs="Arial"/>
          <w:lang w:eastAsia="fr-LU"/>
        </w:rPr>
        <w:t xml:space="preserve"> (ci-après « GCR 2014 »)</w:t>
      </w:r>
      <w:r w:rsidR="009B2CAB" w:rsidRPr="00B15430">
        <w:rPr>
          <w:rFonts w:ascii="Arial" w:eastAsia="Times New Roman" w:hAnsi="Arial" w:cs="Arial"/>
          <w:lang w:eastAsia="fr-LU"/>
        </w:rPr>
        <w:t>, classe le Luxembourg au </w:t>
      </w:r>
      <w:r w:rsidR="009110B4" w:rsidRPr="00B15430">
        <w:rPr>
          <w:rFonts w:ascii="Arial" w:eastAsia="Times New Roman" w:hAnsi="Arial" w:cs="Arial"/>
          <w:lang w:eastAsia="fr-LU"/>
        </w:rPr>
        <w:t>19</w:t>
      </w:r>
      <w:r w:rsidR="009B2CAB" w:rsidRPr="00B15430">
        <w:rPr>
          <w:rFonts w:ascii="Arial" w:eastAsia="Times New Roman" w:hAnsi="Arial" w:cs="Arial"/>
          <w:vertAlign w:val="superscript"/>
          <w:lang w:eastAsia="fr-LU"/>
        </w:rPr>
        <w:t>e</w:t>
      </w:r>
      <w:r w:rsidR="009B2CAB" w:rsidRPr="00B15430">
        <w:rPr>
          <w:rFonts w:ascii="Arial" w:eastAsia="Times New Roman" w:hAnsi="Arial" w:cs="Arial"/>
          <w:lang w:eastAsia="fr-LU"/>
        </w:rPr>
        <w:t xml:space="preserve"> rang mondial des économies les plus compétitives</w:t>
      </w:r>
      <w:r w:rsidR="00A01000" w:rsidRPr="00A01000">
        <w:rPr>
          <w:rFonts w:ascii="Arial" w:hAnsi="Arial" w:cs="Arial"/>
          <w:vertAlign w:val="superscript"/>
        </w:rPr>
        <w:footnoteReference w:id="1"/>
      </w:r>
      <w:r w:rsidR="00A01000">
        <w:rPr>
          <w:rFonts w:ascii="Arial" w:eastAsia="Times New Roman" w:hAnsi="Arial" w:cs="Arial"/>
          <w:lang w:eastAsia="fr-LU"/>
        </w:rPr>
        <w:t xml:space="preserve"> </w:t>
      </w:r>
      <w:r w:rsidR="009B2CAB" w:rsidRPr="00B15430">
        <w:rPr>
          <w:rFonts w:ascii="Arial" w:eastAsia="Times New Roman" w:hAnsi="Arial" w:cs="Arial"/>
          <w:lang w:eastAsia="fr-LU"/>
        </w:rPr>
        <w:t>parmi </w:t>
      </w:r>
      <w:r w:rsidR="009110B4" w:rsidRPr="00B15430">
        <w:rPr>
          <w:rFonts w:ascii="Arial" w:eastAsia="Times New Roman" w:hAnsi="Arial" w:cs="Arial"/>
          <w:lang w:eastAsia="fr-LU"/>
        </w:rPr>
        <w:t>144</w:t>
      </w:r>
      <w:r w:rsidR="009B2CAB" w:rsidRPr="00B15430">
        <w:rPr>
          <w:rFonts w:ascii="Arial" w:eastAsia="Times New Roman" w:hAnsi="Arial" w:cs="Arial"/>
          <w:lang w:eastAsia="fr-LU"/>
        </w:rPr>
        <w:t xml:space="preserve"> pays</w:t>
      </w:r>
      <w:r w:rsidR="009E7DCD">
        <w:rPr>
          <w:rFonts w:ascii="Arial" w:eastAsia="Times New Roman" w:hAnsi="Arial" w:cs="Arial"/>
          <w:lang w:eastAsia="fr-LU"/>
        </w:rPr>
        <w:t xml:space="preserve"> et territoires</w:t>
      </w:r>
      <w:r w:rsidR="009B2CAB" w:rsidRPr="00B15430">
        <w:rPr>
          <w:rFonts w:ascii="Arial" w:eastAsia="Times New Roman" w:hAnsi="Arial" w:cs="Arial"/>
          <w:lang w:eastAsia="fr-LU"/>
        </w:rPr>
        <w:t xml:space="preserve"> </w:t>
      </w:r>
      <w:r w:rsidR="00B60F84">
        <w:rPr>
          <w:rFonts w:ascii="Arial" w:eastAsia="Times New Roman" w:hAnsi="Arial" w:cs="Arial"/>
          <w:lang w:eastAsia="fr-LU"/>
        </w:rPr>
        <w:t>analysés</w:t>
      </w:r>
      <w:r w:rsidR="00B60F84" w:rsidRPr="00B15430">
        <w:rPr>
          <w:rFonts w:ascii="Arial" w:eastAsia="Times New Roman" w:hAnsi="Arial" w:cs="Arial"/>
          <w:lang w:eastAsia="fr-LU"/>
        </w:rPr>
        <w:t xml:space="preserve"> </w:t>
      </w:r>
      <w:r w:rsidR="009B2CAB" w:rsidRPr="00B15430">
        <w:rPr>
          <w:rFonts w:ascii="Arial" w:eastAsia="Times New Roman" w:hAnsi="Arial" w:cs="Arial"/>
          <w:lang w:eastAsia="fr-LU"/>
        </w:rPr>
        <w:t>(148</w:t>
      </w:r>
      <w:r>
        <w:rPr>
          <w:rFonts w:ascii="Arial" w:eastAsia="Times New Roman" w:hAnsi="Arial" w:cs="Arial"/>
          <w:vertAlign w:val="superscript"/>
          <w:lang w:eastAsia="fr-LU"/>
        </w:rPr>
        <w:t xml:space="preserve"> </w:t>
      </w:r>
      <w:r>
        <w:rPr>
          <w:rFonts w:ascii="Arial" w:eastAsia="Times New Roman" w:hAnsi="Arial" w:cs="Arial"/>
          <w:lang w:eastAsia="fr-LU"/>
        </w:rPr>
        <w:t>pays</w:t>
      </w:r>
      <w:r w:rsidR="009B2CAB" w:rsidRPr="00B15430">
        <w:rPr>
          <w:rFonts w:ascii="Arial" w:eastAsia="Times New Roman" w:hAnsi="Arial" w:cs="Arial"/>
          <w:lang w:eastAsia="fr-LU"/>
        </w:rPr>
        <w:t xml:space="preserve"> en 2013). Ce classement, dont l’enquête auprès des </w:t>
      </w:r>
      <w:r w:rsidR="008B2E12">
        <w:rPr>
          <w:rFonts w:ascii="Arial" w:eastAsia="Times New Roman" w:hAnsi="Arial" w:cs="Arial"/>
          <w:lang w:eastAsia="fr-LU"/>
        </w:rPr>
        <w:t>entreprises</w:t>
      </w:r>
      <w:r w:rsidR="008B2E12" w:rsidRPr="00B15430">
        <w:rPr>
          <w:rFonts w:ascii="Arial" w:eastAsia="Times New Roman" w:hAnsi="Arial" w:cs="Arial"/>
          <w:lang w:eastAsia="fr-LU"/>
        </w:rPr>
        <w:t xml:space="preserve"> </w:t>
      </w:r>
      <w:r w:rsidR="009B2CAB" w:rsidRPr="00B15430">
        <w:rPr>
          <w:rFonts w:ascii="Arial" w:eastAsia="Times New Roman" w:hAnsi="Arial" w:cs="Arial"/>
          <w:lang w:eastAsia="fr-LU"/>
        </w:rPr>
        <w:t xml:space="preserve">est </w:t>
      </w:r>
      <w:r>
        <w:rPr>
          <w:rFonts w:ascii="Arial" w:eastAsia="Times New Roman" w:hAnsi="Arial" w:cs="Arial"/>
          <w:lang w:eastAsia="fr-LU"/>
        </w:rPr>
        <w:t>menée</w:t>
      </w:r>
      <w:r w:rsidR="009B2CAB" w:rsidRPr="00B15430">
        <w:rPr>
          <w:rFonts w:ascii="Arial" w:eastAsia="Times New Roman" w:hAnsi="Arial" w:cs="Arial"/>
          <w:lang w:eastAsia="fr-LU"/>
        </w:rPr>
        <w:t xml:space="preserve"> par la Chambre de Commerce pour le volet luxembourgeois, représente une progression de </w:t>
      </w:r>
      <w:r w:rsidR="001E5AAE">
        <w:rPr>
          <w:rFonts w:ascii="Arial" w:eastAsia="Times New Roman" w:hAnsi="Arial" w:cs="Arial"/>
          <w:lang w:eastAsia="fr-LU"/>
        </w:rPr>
        <w:t>trois</w:t>
      </w:r>
      <w:r w:rsidR="009110B4" w:rsidRPr="00B15430">
        <w:rPr>
          <w:rFonts w:ascii="Arial" w:eastAsia="Times New Roman" w:hAnsi="Arial" w:cs="Arial"/>
          <w:lang w:eastAsia="fr-LU"/>
        </w:rPr>
        <w:t xml:space="preserve"> rangs par rapport </w:t>
      </w:r>
      <w:r w:rsidR="00B60F84">
        <w:rPr>
          <w:rFonts w:ascii="Arial" w:eastAsia="Times New Roman" w:hAnsi="Arial" w:cs="Arial"/>
          <w:lang w:eastAsia="fr-LU"/>
        </w:rPr>
        <w:t>à l’année</w:t>
      </w:r>
      <w:r w:rsidR="009B2CAB" w:rsidRPr="00B15430">
        <w:rPr>
          <w:rFonts w:ascii="Arial" w:eastAsia="Times New Roman" w:hAnsi="Arial" w:cs="Arial"/>
          <w:lang w:eastAsia="fr-LU"/>
        </w:rPr>
        <w:t xml:space="preserve"> précédente</w:t>
      </w:r>
      <w:r w:rsidR="008B2E12">
        <w:rPr>
          <w:rFonts w:ascii="Arial" w:eastAsia="Times New Roman" w:hAnsi="Arial" w:cs="Arial"/>
          <w:lang w:eastAsia="fr-LU"/>
        </w:rPr>
        <w:t>.</w:t>
      </w:r>
      <w:r w:rsidR="009B2CAB" w:rsidRPr="00B15430">
        <w:rPr>
          <w:rFonts w:ascii="Arial" w:eastAsia="Times New Roman" w:hAnsi="Arial" w:cs="Arial"/>
          <w:lang w:eastAsia="fr-LU"/>
        </w:rPr>
        <w:t xml:space="preserve"> </w:t>
      </w:r>
      <w:r w:rsidR="00B22D5D" w:rsidRPr="00B15430">
        <w:rPr>
          <w:rFonts w:ascii="Arial" w:eastAsia="Times New Roman" w:hAnsi="Arial" w:cs="Arial"/>
          <w:lang w:eastAsia="fr-LU"/>
        </w:rPr>
        <w:t xml:space="preserve">Une amélioration </w:t>
      </w:r>
      <w:r w:rsidR="006242F4">
        <w:rPr>
          <w:rFonts w:ascii="Arial" w:eastAsia="Times New Roman" w:hAnsi="Arial" w:cs="Arial"/>
          <w:lang w:eastAsia="fr-LU"/>
        </w:rPr>
        <w:t>encourageante</w:t>
      </w:r>
      <w:r w:rsidR="009E7DCD" w:rsidRPr="00B15430">
        <w:rPr>
          <w:rFonts w:ascii="Arial" w:eastAsia="Times New Roman" w:hAnsi="Arial" w:cs="Arial"/>
          <w:lang w:eastAsia="fr-LU"/>
        </w:rPr>
        <w:t xml:space="preserve"> </w:t>
      </w:r>
      <w:r w:rsidR="00085E49" w:rsidRPr="00B15430">
        <w:rPr>
          <w:rFonts w:ascii="Arial" w:eastAsia="Times New Roman" w:hAnsi="Arial" w:cs="Arial"/>
          <w:lang w:eastAsia="fr-LU"/>
        </w:rPr>
        <w:t>pour le Luxembourg qui</w:t>
      </w:r>
      <w:r w:rsidR="006242F4">
        <w:rPr>
          <w:rFonts w:ascii="Arial" w:eastAsia="Times New Roman" w:hAnsi="Arial" w:cs="Arial"/>
          <w:lang w:eastAsia="fr-LU"/>
        </w:rPr>
        <w:t xml:space="preserve"> </w:t>
      </w:r>
      <w:r w:rsidR="0083368B">
        <w:rPr>
          <w:rFonts w:ascii="Arial" w:eastAsia="Times New Roman" w:hAnsi="Arial" w:cs="Arial"/>
          <w:lang w:eastAsia="fr-LU"/>
        </w:rPr>
        <w:t xml:space="preserve">lui </w:t>
      </w:r>
      <w:r w:rsidR="006242F4">
        <w:rPr>
          <w:rFonts w:ascii="Arial" w:eastAsia="Times New Roman" w:hAnsi="Arial" w:cs="Arial"/>
          <w:lang w:eastAsia="fr-LU"/>
        </w:rPr>
        <w:t>permet</w:t>
      </w:r>
      <w:r w:rsidR="00085E49" w:rsidRPr="00B15430">
        <w:rPr>
          <w:rFonts w:ascii="Arial" w:eastAsia="Times New Roman" w:hAnsi="Arial" w:cs="Arial"/>
          <w:lang w:eastAsia="fr-LU"/>
        </w:rPr>
        <w:t xml:space="preserve"> </w:t>
      </w:r>
      <w:r w:rsidR="009E7DCD">
        <w:rPr>
          <w:rFonts w:ascii="Arial" w:eastAsia="Times New Roman" w:hAnsi="Arial" w:cs="Arial"/>
          <w:lang w:eastAsia="fr-LU"/>
        </w:rPr>
        <w:t>de renouer avec son meilleur classement historique</w:t>
      </w:r>
      <w:r w:rsidR="006242F4">
        <w:rPr>
          <w:rFonts w:ascii="Arial" w:eastAsia="Times New Roman" w:hAnsi="Arial" w:cs="Arial"/>
          <w:lang w:eastAsia="fr-LU"/>
        </w:rPr>
        <w:t xml:space="preserve"> dans l’étude</w:t>
      </w:r>
      <w:r w:rsidR="00FA3665">
        <w:rPr>
          <w:rFonts w:ascii="Arial" w:eastAsia="Times New Roman" w:hAnsi="Arial" w:cs="Arial"/>
          <w:lang w:eastAsia="fr-LU"/>
        </w:rPr>
        <w:t xml:space="preserve"> du</w:t>
      </w:r>
      <w:r w:rsidR="006242F4">
        <w:rPr>
          <w:rFonts w:ascii="Arial" w:eastAsia="Times New Roman" w:hAnsi="Arial" w:cs="Arial"/>
          <w:lang w:eastAsia="fr-LU"/>
        </w:rPr>
        <w:t xml:space="preserve"> WEF</w:t>
      </w:r>
      <w:r w:rsidR="009E7DCD">
        <w:rPr>
          <w:rFonts w:ascii="Arial" w:eastAsia="Times New Roman" w:hAnsi="Arial" w:cs="Arial"/>
          <w:lang w:eastAsia="fr-LU"/>
        </w:rPr>
        <w:t>,</w:t>
      </w:r>
      <w:r w:rsidR="006242F4">
        <w:rPr>
          <w:rFonts w:ascii="Arial" w:eastAsia="Times New Roman" w:hAnsi="Arial" w:cs="Arial"/>
          <w:lang w:eastAsia="fr-LU"/>
        </w:rPr>
        <w:t xml:space="preserve"> à savoir</w:t>
      </w:r>
      <w:r w:rsidR="009E7DCD">
        <w:rPr>
          <w:rFonts w:ascii="Arial" w:eastAsia="Times New Roman" w:hAnsi="Arial" w:cs="Arial"/>
          <w:lang w:eastAsia="fr-LU"/>
        </w:rPr>
        <w:t xml:space="preserve"> une 20</w:t>
      </w:r>
      <w:r w:rsidR="00A01000" w:rsidRPr="00A01000">
        <w:rPr>
          <w:rFonts w:ascii="Arial" w:eastAsia="Times New Roman" w:hAnsi="Arial" w:cs="Arial"/>
          <w:vertAlign w:val="superscript"/>
          <w:lang w:eastAsia="fr-LU"/>
        </w:rPr>
        <w:t>e</w:t>
      </w:r>
      <w:r w:rsidR="009E7DCD">
        <w:rPr>
          <w:rFonts w:ascii="Arial" w:eastAsia="Times New Roman" w:hAnsi="Arial" w:cs="Arial"/>
          <w:lang w:eastAsia="fr-LU"/>
        </w:rPr>
        <w:t xml:space="preserve"> place il y a </w:t>
      </w:r>
      <w:r w:rsidR="001E5AAE">
        <w:rPr>
          <w:rFonts w:ascii="Arial" w:eastAsia="Times New Roman" w:hAnsi="Arial" w:cs="Arial"/>
          <w:lang w:eastAsia="fr-LU"/>
        </w:rPr>
        <w:t>quatre</w:t>
      </w:r>
      <w:r w:rsidR="009E7DCD">
        <w:rPr>
          <w:rFonts w:ascii="Arial" w:eastAsia="Times New Roman" w:hAnsi="Arial" w:cs="Arial"/>
          <w:lang w:eastAsia="fr-LU"/>
        </w:rPr>
        <w:t xml:space="preserve"> ans.</w:t>
      </w:r>
    </w:p>
    <w:p w:rsidR="00434CB6" w:rsidRDefault="00434CB6" w:rsidP="00BE54ED">
      <w:pPr>
        <w:pBdr>
          <w:top w:val="single" w:sz="4" w:space="1" w:color="auto"/>
          <w:left w:val="single" w:sz="4" w:space="4" w:color="auto"/>
          <w:bottom w:val="single" w:sz="4" w:space="1" w:color="auto"/>
          <w:right w:val="single" w:sz="4" w:space="4" w:color="auto"/>
        </w:pBdr>
        <w:spacing w:after="0" w:line="259" w:lineRule="auto"/>
        <w:jc w:val="both"/>
        <w:outlineLvl w:val="1"/>
        <w:rPr>
          <w:rFonts w:ascii="Arial" w:eastAsia="Times New Roman" w:hAnsi="Arial" w:cs="Arial"/>
          <w:lang w:eastAsia="fr-LU"/>
        </w:rPr>
      </w:pPr>
    </w:p>
    <w:p w:rsidR="00434CB6" w:rsidRDefault="00AA2C3A" w:rsidP="00BE54ED">
      <w:pPr>
        <w:pBdr>
          <w:top w:val="single" w:sz="4" w:space="1" w:color="auto"/>
          <w:left w:val="single" w:sz="4" w:space="4" w:color="auto"/>
          <w:bottom w:val="single" w:sz="4" w:space="1" w:color="auto"/>
          <w:right w:val="single" w:sz="4" w:space="4" w:color="auto"/>
        </w:pBdr>
        <w:spacing w:after="0" w:line="259" w:lineRule="auto"/>
        <w:jc w:val="both"/>
        <w:rPr>
          <w:rFonts w:ascii="Arial" w:eastAsia="Times New Roman" w:hAnsi="Arial" w:cs="Arial"/>
          <w:lang w:eastAsia="fr-LU"/>
        </w:rPr>
      </w:pPr>
      <w:r>
        <w:rPr>
          <w:rFonts w:ascii="Arial" w:eastAsia="Times New Roman" w:hAnsi="Arial" w:cs="Arial"/>
          <w:lang w:eastAsia="fr-LU"/>
        </w:rPr>
        <w:t>La danse de la compétitivité est menée par</w:t>
      </w:r>
      <w:r w:rsidR="00C35F1C" w:rsidRPr="00B15430">
        <w:rPr>
          <w:rFonts w:ascii="Arial" w:eastAsia="Times New Roman" w:hAnsi="Arial" w:cs="Arial"/>
          <w:lang w:eastAsia="fr-LU"/>
        </w:rPr>
        <w:t xml:space="preserve"> la Suisse, le Singapour et les Etats-Unis.</w:t>
      </w:r>
      <w:r w:rsidR="00F606C7" w:rsidRPr="00B15430">
        <w:rPr>
          <w:rFonts w:ascii="Arial" w:eastAsia="Times New Roman" w:hAnsi="Arial" w:cs="Arial"/>
          <w:lang w:eastAsia="fr-LU"/>
        </w:rPr>
        <w:t xml:space="preserve"> </w:t>
      </w:r>
      <w:r w:rsidR="000D3681">
        <w:rPr>
          <w:rFonts w:ascii="Arial" w:eastAsia="Times New Roman" w:hAnsi="Arial" w:cs="Arial"/>
          <w:lang w:eastAsia="fr-LU"/>
        </w:rPr>
        <w:t>Six</w:t>
      </w:r>
      <w:r>
        <w:rPr>
          <w:rFonts w:ascii="Arial" w:eastAsia="Times New Roman" w:hAnsi="Arial" w:cs="Arial"/>
          <w:lang w:eastAsia="fr-LU"/>
        </w:rPr>
        <w:t xml:space="preserve"> pays </w:t>
      </w:r>
      <w:r w:rsidR="00A01821">
        <w:rPr>
          <w:rFonts w:ascii="Arial" w:eastAsia="Times New Roman" w:hAnsi="Arial" w:cs="Arial"/>
          <w:lang w:eastAsia="fr-LU"/>
        </w:rPr>
        <w:t xml:space="preserve">européens </w:t>
      </w:r>
      <w:r w:rsidR="008B2E12">
        <w:rPr>
          <w:rFonts w:ascii="Arial" w:eastAsia="Times New Roman" w:hAnsi="Arial" w:cs="Arial"/>
          <w:lang w:eastAsia="fr-LU"/>
        </w:rPr>
        <w:t>figurent</w:t>
      </w:r>
      <w:r>
        <w:rPr>
          <w:rFonts w:ascii="Arial" w:eastAsia="Times New Roman" w:hAnsi="Arial" w:cs="Arial"/>
          <w:lang w:eastAsia="fr-LU"/>
        </w:rPr>
        <w:t xml:space="preserve"> dans le </w:t>
      </w:r>
      <w:r w:rsidR="008B2E12">
        <w:rPr>
          <w:rFonts w:ascii="Arial" w:eastAsia="Times New Roman" w:hAnsi="Arial" w:cs="Arial"/>
          <w:lang w:eastAsia="fr-LU"/>
        </w:rPr>
        <w:t>« </w:t>
      </w:r>
      <w:r>
        <w:rPr>
          <w:rFonts w:ascii="Arial" w:eastAsia="Times New Roman" w:hAnsi="Arial" w:cs="Arial"/>
          <w:lang w:eastAsia="fr-LU"/>
        </w:rPr>
        <w:t>Top 10</w:t>
      </w:r>
      <w:r w:rsidR="008B2E12">
        <w:rPr>
          <w:rFonts w:ascii="Arial" w:eastAsia="Times New Roman" w:hAnsi="Arial" w:cs="Arial"/>
          <w:lang w:eastAsia="fr-LU"/>
        </w:rPr>
        <w:t> »</w:t>
      </w:r>
      <w:r>
        <w:rPr>
          <w:rFonts w:ascii="Arial" w:eastAsia="Times New Roman" w:hAnsi="Arial" w:cs="Arial"/>
          <w:lang w:eastAsia="fr-LU"/>
        </w:rPr>
        <w:t xml:space="preserve"> des nations les plus performantes, dont</w:t>
      </w:r>
      <w:r w:rsidR="004A145E">
        <w:rPr>
          <w:rFonts w:ascii="Arial" w:eastAsia="Times New Roman" w:hAnsi="Arial" w:cs="Arial"/>
          <w:lang w:eastAsia="fr-LU"/>
        </w:rPr>
        <w:t xml:space="preserve"> </w:t>
      </w:r>
      <w:r w:rsidR="00D323D2">
        <w:rPr>
          <w:rFonts w:ascii="Arial" w:eastAsia="Times New Roman" w:hAnsi="Arial" w:cs="Arial"/>
          <w:lang w:eastAsia="fr-LU"/>
        </w:rPr>
        <w:t>trois</w:t>
      </w:r>
      <w:r>
        <w:rPr>
          <w:rFonts w:ascii="Arial" w:eastAsia="Times New Roman" w:hAnsi="Arial" w:cs="Arial"/>
          <w:lang w:eastAsia="fr-LU"/>
        </w:rPr>
        <w:t xml:space="preserve"> </w:t>
      </w:r>
      <w:r w:rsidR="008B2E12">
        <w:rPr>
          <w:rFonts w:ascii="Arial" w:eastAsia="Times New Roman" w:hAnsi="Arial" w:cs="Arial"/>
          <w:lang w:eastAsia="fr-LU"/>
        </w:rPr>
        <w:t xml:space="preserve">sont membres de la </w:t>
      </w:r>
      <w:r>
        <w:rPr>
          <w:rFonts w:ascii="Arial" w:eastAsia="Times New Roman" w:hAnsi="Arial" w:cs="Arial"/>
          <w:lang w:eastAsia="fr-LU"/>
        </w:rPr>
        <w:t>zone euro, à savoir la Finlande (4</w:t>
      </w:r>
      <w:r w:rsidR="00A01000" w:rsidRPr="00A01000">
        <w:rPr>
          <w:rFonts w:ascii="Arial" w:eastAsia="Times New Roman" w:hAnsi="Arial" w:cs="Arial"/>
          <w:vertAlign w:val="superscript"/>
          <w:lang w:eastAsia="fr-LU"/>
        </w:rPr>
        <w:t>e</w:t>
      </w:r>
      <w:r>
        <w:rPr>
          <w:rFonts w:ascii="Arial" w:eastAsia="Times New Roman" w:hAnsi="Arial" w:cs="Arial"/>
          <w:lang w:eastAsia="fr-LU"/>
        </w:rPr>
        <w:t>)</w:t>
      </w:r>
      <w:r w:rsidR="00E825E1">
        <w:rPr>
          <w:rFonts w:ascii="Arial" w:eastAsia="Times New Roman" w:hAnsi="Arial" w:cs="Arial"/>
          <w:lang w:eastAsia="fr-LU"/>
        </w:rPr>
        <w:t>, au pied du podium</w:t>
      </w:r>
      <w:r>
        <w:rPr>
          <w:rFonts w:ascii="Arial" w:eastAsia="Times New Roman" w:hAnsi="Arial" w:cs="Arial"/>
          <w:lang w:eastAsia="fr-LU"/>
        </w:rPr>
        <w:t>, l’Allemagne (5</w:t>
      </w:r>
      <w:r w:rsidR="00A01000" w:rsidRPr="00A01000">
        <w:rPr>
          <w:rFonts w:ascii="Arial" w:eastAsia="Times New Roman" w:hAnsi="Arial" w:cs="Arial"/>
          <w:vertAlign w:val="superscript"/>
          <w:lang w:eastAsia="fr-LU"/>
        </w:rPr>
        <w:t>e</w:t>
      </w:r>
      <w:r>
        <w:rPr>
          <w:rFonts w:ascii="Arial" w:eastAsia="Times New Roman" w:hAnsi="Arial" w:cs="Arial"/>
          <w:lang w:eastAsia="fr-LU"/>
        </w:rPr>
        <w:t>) et les Pays-Bas (8</w:t>
      </w:r>
      <w:r w:rsidR="00A01000" w:rsidRPr="00A01000">
        <w:rPr>
          <w:rFonts w:ascii="Arial" w:eastAsia="Times New Roman" w:hAnsi="Arial" w:cs="Arial"/>
          <w:vertAlign w:val="superscript"/>
          <w:lang w:eastAsia="fr-LU"/>
        </w:rPr>
        <w:t>e</w:t>
      </w:r>
      <w:r>
        <w:rPr>
          <w:rFonts w:ascii="Arial" w:eastAsia="Times New Roman" w:hAnsi="Arial" w:cs="Arial"/>
          <w:lang w:eastAsia="fr-LU"/>
        </w:rPr>
        <w:t xml:space="preserve">). </w:t>
      </w:r>
      <w:r w:rsidR="008B2E12">
        <w:rPr>
          <w:rFonts w:ascii="Arial" w:eastAsia="Times New Roman" w:hAnsi="Arial" w:cs="Arial"/>
          <w:noProof/>
          <w:lang w:eastAsia="fr-LU"/>
        </w:rPr>
        <w:t>En</w:t>
      </w:r>
      <w:r>
        <w:rPr>
          <w:rFonts w:ascii="Arial" w:eastAsia="Times New Roman" w:hAnsi="Arial" w:cs="Arial"/>
          <w:lang w:eastAsia="fr-LU"/>
        </w:rPr>
        <w:t xml:space="preserve"> comparaison avec </w:t>
      </w:r>
      <w:r w:rsidR="00711726">
        <w:rPr>
          <w:rFonts w:ascii="Arial" w:eastAsia="Times New Roman" w:hAnsi="Arial" w:cs="Arial"/>
          <w:lang w:eastAsia="fr-LU"/>
        </w:rPr>
        <w:t xml:space="preserve">les </w:t>
      </w:r>
      <w:r w:rsidR="00D323D2">
        <w:rPr>
          <w:rFonts w:ascii="Arial" w:eastAsia="Times New Roman" w:hAnsi="Arial" w:cs="Arial"/>
          <w:lang w:eastAsia="fr-LU"/>
        </w:rPr>
        <w:t>trois</w:t>
      </w:r>
      <w:r w:rsidR="00711726">
        <w:rPr>
          <w:rFonts w:ascii="Arial" w:eastAsia="Times New Roman" w:hAnsi="Arial" w:cs="Arial"/>
          <w:lang w:eastAsia="fr-LU"/>
        </w:rPr>
        <w:t xml:space="preserve"> </w:t>
      </w:r>
      <w:r>
        <w:rPr>
          <w:rFonts w:ascii="Arial" w:eastAsia="Times New Roman" w:hAnsi="Arial" w:cs="Arial"/>
          <w:lang w:eastAsia="fr-LU"/>
        </w:rPr>
        <w:t xml:space="preserve">pays </w:t>
      </w:r>
      <w:r w:rsidR="00E825E1">
        <w:rPr>
          <w:rFonts w:ascii="Arial" w:eastAsia="Times New Roman" w:hAnsi="Arial" w:cs="Arial"/>
          <w:lang w:eastAsia="fr-LU"/>
        </w:rPr>
        <w:t>limitrophes,</w:t>
      </w:r>
      <w:r>
        <w:rPr>
          <w:rFonts w:ascii="Arial" w:eastAsia="Times New Roman" w:hAnsi="Arial" w:cs="Arial"/>
          <w:lang w:eastAsia="fr-LU"/>
        </w:rPr>
        <w:t xml:space="preserve"> les résultats</w:t>
      </w:r>
      <w:r w:rsidR="00E825E1">
        <w:rPr>
          <w:rFonts w:ascii="Arial" w:eastAsia="Times New Roman" w:hAnsi="Arial" w:cs="Arial"/>
          <w:lang w:eastAsia="fr-LU"/>
        </w:rPr>
        <w:t xml:space="preserve"> </w:t>
      </w:r>
      <w:r w:rsidR="008B2E12">
        <w:rPr>
          <w:rFonts w:ascii="Arial" w:eastAsia="Times New Roman" w:hAnsi="Arial" w:cs="Arial"/>
          <w:lang w:eastAsia="fr-LU"/>
        </w:rPr>
        <w:t>du</w:t>
      </w:r>
      <w:r w:rsidR="00E825E1">
        <w:rPr>
          <w:rFonts w:ascii="Arial" w:eastAsia="Times New Roman" w:hAnsi="Arial" w:cs="Arial"/>
          <w:lang w:eastAsia="fr-LU"/>
        </w:rPr>
        <w:t xml:space="preserve"> Luxembourg</w:t>
      </w:r>
      <w:r>
        <w:rPr>
          <w:rFonts w:ascii="Arial" w:eastAsia="Times New Roman" w:hAnsi="Arial" w:cs="Arial"/>
          <w:lang w:eastAsia="fr-LU"/>
        </w:rPr>
        <w:t xml:space="preserve"> demeurent plutôt mitigés</w:t>
      </w:r>
      <w:r w:rsidR="008B2E12">
        <w:rPr>
          <w:rFonts w:ascii="Arial" w:eastAsia="Times New Roman" w:hAnsi="Arial" w:cs="Arial"/>
          <w:lang w:eastAsia="fr-LU"/>
        </w:rPr>
        <w:t>. D’</w:t>
      </w:r>
      <w:r>
        <w:rPr>
          <w:rFonts w:ascii="Arial" w:eastAsia="Times New Roman" w:hAnsi="Arial" w:cs="Arial"/>
          <w:lang w:eastAsia="fr-LU"/>
        </w:rPr>
        <w:t xml:space="preserve">un côté, la tendance à la hausse depuis </w:t>
      </w:r>
      <w:r w:rsidR="008B2E12">
        <w:rPr>
          <w:rFonts w:ascii="Arial" w:eastAsia="Times New Roman" w:hAnsi="Arial" w:cs="Arial"/>
          <w:lang w:eastAsia="fr-LU"/>
        </w:rPr>
        <w:t>le repli</w:t>
      </w:r>
      <w:r>
        <w:rPr>
          <w:rFonts w:ascii="Arial" w:eastAsia="Times New Roman" w:hAnsi="Arial" w:cs="Arial"/>
          <w:lang w:eastAsia="fr-LU"/>
        </w:rPr>
        <w:t xml:space="preserve"> en 2011 est </w:t>
      </w:r>
      <w:r w:rsidR="008B2E12">
        <w:rPr>
          <w:rFonts w:ascii="Arial" w:eastAsia="Times New Roman" w:hAnsi="Arial" w:cs="Arial"/>
          <w:lang w:eastAsia="fr-LU"/>
        </w:rPr>
        <w:t>prometteuse</w:t>
      </w:r>
      <w:r w:rsidR="00711726">
        <w:rPr>
          <w:rFonts w:ascii="Arial" w:eastAsia="Times New Roman" w:hAnsi="Arial" w:cs="Arial"/>
          <w:lang w:eastAsia="fr-LU"/>
        </w:rPr>
        <w:t xml:space="preserve"> ; </w:t>
      </w:r>
      <w:r>
        <w:rPr>
          <w:rFonts w:ascii="Arial" w:eastAsia="Times New Roman" w:hAnsi="Arial" w:cs="Arial"/>
          <w:lang w:eastAsia="fr-LU"/>
        </w:rPr>
        <w:t xml:space="preserve">le </w:t>
      </w:r>
      <w:r w:rsidR="008B2E12">
        <w:rPr>
          <w:rFonts w:ascii="Arial" w:eastAsia="Times New Roman" w:hAnsi="Arial" w:cs="Arial"/>
          <w:lang w:eastAsia="fr-LU"/>
        </w:rPr>
        <w:t>Grand-Duché</w:t>
      </w:r>
      <w:r>
        <w:rPr>
          <w:rFonts w:ascii="Arial" w:eastAsia="Times New Roman" w:hAnsi="Arial" w:cs="Arial"/>
          <w:lang w:eastAsia="fr-LU"/>
        </w:rPr>
        <w:t xml:space="preserve"> est </w:t>
      </w:r>
      <w:r w:rsidR="00711726">
        <w:rPr>
          <w:rFonts w:ascii="Arial" w:eastAsia="Times New Roman" w:hAnsi="Arial" w:cs="Arial"/>
          <w:lang w:eastAsia="fr-LU"/>
        </w:rPr>
        <w:t xml:space="preserve">ainsi </w:t>
      </w:r>
      <w:r>
        <w:rPr>
          <w:rFonts w:ascii="Arial" w:eastAsia="Times New Roman" w:hAnsi="Arial" w:cs="Arial"/>
          <w:lang w:eastAsia="fr-LU"/>
        </w:rPr>
        <w:t xml:space="preserve">le seul pays parmi les </w:t>
      </w:r>
      <w:r w:rsidR="001E5AAE">
        <w:rPr>
          <w:rFonts w:ascii="Arial" w:eastAsia="Times New Roman" w:hAnsi="Arial" w:cs="Arial"/>
          <w:lang w:eastAsia="fr-LU"/>
        </w:rPr>
        <w:t>quatre</w:t>
      </w:r>
      <w:r w:rsidR="008B2E12">
        <w:rPr>
          <w:rFonts w:ascii="Arial" w:eastAsia="Times New Roman" w:hAnsi="Arial" w:cs="Arial"/>
          <w:lang w:eastAsia="fr-LU"/>
        </w:rPr>
        <w:t xml:space="preserve"> Etats</w:t>
      </w:r>
      <w:r>
        <w:rPr>
          <w:rFonts w:ascii="Arial" w:eastAsia="Times New Roman" w:hAnsi="Arial" w:cs="Arial"/>
          <w:lang w:eastAsia="fr-LU"/>
        </w:rPr>
        <w:t xml:space="preserve"> à avoir progressé dans le classement</w:t>
      </w:r>
      <w:r w:rsidR="000D3681">
        <w:rPr>
          <w:rFonts w:ascii="Arial" w:eastAsia="Times New Roman" w:hAnsi="Arial" w:cs="Arial"/>
          <w:lang w:eastAsia="fr-LU"/>
        </w:rPr>
        <w:t xml:space="preserve"> GCR</w:t>
      </w:r>
      <w:r>
        <w:rPr>
          <w:rFonts w:ascii="Arial" w:eastAsia="Times New Roman" w:hAnsi="Arial" w:cs="Arial"/>
          <w:lang w:eastAsia="fr-LU"/>
        </w:rPr>
        <w:t xml:space="preserve"> 2014, dépassant la France, qui stagne au 23</w:t>
      </w:r>
      <w:r w:rsidR="00A01000" w:rsidRPr="00A01000">
        <w:rPr>
          <w:rFonts w:ascii="Arial" w:eastAsia="Times New Roman" w:hAnsi="Arial" w:cs="Arial"/>
          <w:vertAlign w:val="superscript"/>
          <w:lang w:eastAsia="fr-LU"/>
        </w:rPr>
        <w:t>e</w:t>
      </w:r>
      <w:r>
        <w:rPr>
          <w:rFonts w:ascii="Arial" w:eastAsia="Times New Roman" w:hAnsi="Arial" w:cs="Arial"/>
          <w:lang w:eastAsia="fr-LU"/>
        </w:rPr>
        <w:t xml:space="preserve"> rang, et placé juste derrière la Belgique, qui a perdu un</w:t>
      </w:r>
      <w:r w:rsidR="008B2E12">
        <w:rPr>
          <w:rFonts w:ascii="Arial" w:eastAsia="Times New Roman" w:hAnsi="Arial" w:cs="Arial"/>
          <w:lang w:eastAsia="fr-LU"/>
        </w:rPr>
        <w:t>e</w:t>
      </w:r>
      <w:r>
        <w:rPr>
          <w:rFonts w:ascii="Arial" w:eastAsia="Times New Roman" w:hAnsi="Arial" w:cs="Arial"/>
          <w:lang w:eastAsia="fr-LU"/>
        </w:rPr>
        <w:t xml:space="preserve"> place pour se retrouver </w:t>
      </w:r>
      <w:r w:rsidR="00842CD3">
        <w:rPr>
          <w:rFonts w:ascii="Arial" w:eastAsia="Times New Roman" w:hAnsi="Arial" w:cs="Arial"/>
          <w:lang w:eastAsia="fr-LU"/>
        </w:rPr>
        <w:t>au</w:t>
      </w:r>
      <w:r>
        <w:rPr>
          <w:rFonts w:ascii="Arial" w:eastAsia="Times New Roman" w:hAnsi="Arial" w:cs="Arial"/>
          <w:lang w:eastAsia="fr-LU"/>
        </w:rPr>
        <w:t xml:space="preserve"> 18</w:t>
      </w:r>
      <w:r w:rsidR="00A01000" w:rsidRPr="00A01000">
        <w:rPr>
          <w:rFonts w:ascii="Arial" w:eastAsia="Times New Roman" w:hAnsi="Arial" w:cs="Arial"/>
          <w:vertAlign w:val="superscript"/>
          <w:lang w:eastAsia="fr-LU"/>
        </w:rPr>
        <w:t>e</w:t>
      </w:r>
      <w:r>
        <w:rPr>
          <w:rFonts w:ascii="Arial" w:eastAsia="Times New Roman" w:hAnsi="Arial" w:cs="Arial"/>
          <w:lang w:eastAsia="fr-LU"/>
        </w:rPr>
        <w:t xml:space="preserve"> rang en 2014. De l’autre</w:t>
      </w:r>
      <w:r w:rsidR="000D3681">
        <w:rPr>
          <w:rFonts w:ascii="Arial" w:eastAsia="Times New Roman" w:hAnsi="Arial" w:cs="Arial"/>
          <w:lang w:eastAsia="fr-LU"/>
        </w:rPr>
        <w:t xml:space="preserve"> côté</w:t>
      </w:r>
      <w:r>
        <w:rPr>
          <w:rFonts w:ascii="Arial" w:eastAsia="Times New Roman" w:hAnsi="Arial" w:cs="Arial"/>
          <w:lang w:eastAsia="fr-LU"/>
        </w:rPr>
        <w:t xml:space="preserve">, le Luxembourg est encore loin </w:t>
      </w:r>
      <w:r w:rsidR="008B2E12">
        <w:rPr>
          <w:rFonts w:ascii="Arial" w:eastAsia="Times New Roman" w:hAnsi="Arial" w:cs="Arial"/>
          <w:lang w:eastAsia="fr-LU"/>
        </w:rPr>
        <w:t>de son</w:t>
      </w:r>
      <w:r>
        <w:rPr>
          <w:rFonts w:ascii="Arial" w:eastAsia="Times New Roman" w:hAnsi="Arial" w:cs="Arial"/>
          <w:lang w:eastAsia="fr-LU"/>
        </w:rPr>
        <w:t xml:space="preserve"> </w:t>
      </w:r>
      <w:r w:rsidR="00711726">
        <w:rPr>
          <w:rFonts w:ascii="Arial" w:eastAsia="Times New Roman" w:hAnsi="Arial" w:cs="Arial"/>
          <w:lang w:eastAsia="fr-LU"/>
        </w:rPr>
        <w:t xml:space="preserve">principal partenaire commercial et </w:t>
      </w:r>
      <w:r>
        <w:rPr>
          <w:rFonts w:ascii="Arial" w:eastAsia="Times New Roman" w:hAnsi="Arial" w:cs="Arial"/>
          <w:lang w:eastAsia="fr-LU"/>
        </w:rPr>
        <w:t>voisin allemand (-1 place, 5</w:t>
      </w:r>
      <w:r w:rsidR="00A01000" w:rsidRPr="00A01000">
        <w:rPr>
          <w:rFonts w:ascii="Arial" w:eastAsia="Times New Roman" w:hAnsi="Arial" w:cs="Arial"/>
          <w:vertAlign w:val="superscript"/>
          <w:lang w:eastAsia="fr-LU"/>
        </w:rPr>
        <w:t>e</w:t>
      </w:r>
      <w:r>
        <w:rPr>
          <w:rFonts w:ascii="Arial" w:eastAsia="Times New Roman" w:hAnsi="Arial" w:cs="Arial"/>
          <w:lang w:eastAsia="fr-LU"/>
        </w:rPr>
        <w:t xml:space="preserve"> rang</w:t>
      </w:r>
      <w:r w:rsidR="00B60F84">
        <w:rPr>
          <w:rFonts w:ascii="Arial" w:eastAsia="Times New Roman" w:hAnsi="Arial" w:cs="Arial"/>
          <w:lang w:eastAsia="fr-LU"/>
        </w:rPr>
        <w:t xml:space="preserve"> mondial</w:t>
      </w:r>
      <w:r>
        <w:rPr>
          <w:rFonts w:ascii="Arial" w:eastAsia="Times New Roman" w:hAnsi="Arial" w:cs="Arial"/>
          <w:lang w:eastAsia="fr-LU"/>
        </w:rPr>
        <w:t>)</w:t>
      </w:r>
      <w:r w:rsidR="00711726">
        <w:rPr>
          <w:rFonts w:ascii="Arial" w:eastAsia="Times New Roman" w:hAnsi="Arial" w:cs="Arial"/>
          <w:lang w:eastAsia="fr-LU"/>
        </w:rPr>
        <w:t>.</w:t>
      </w: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eastAsia="Times New Roman" w:hAnsi="Arial" w:cs="Arial"/>
          <w:lang w:eastAsia="fr-LU"/>
        </w:rPr>
      </w:pPr>
    </w:p>
    <w:p w:rsidR="00E014D5" w:rsidRDefault="00AA2C3A"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sz w:val="20"/>
          <w:szCs w:val="20"/>
        </w:rPr>
      </w:pPr>
      <w:r>
        <w:rPr>
          <w:rFonts w:ascii="Arial" w:eastAsia="Times New Roman" w:hAnsi="Arial" w:cs="Arial"/>
          <w:lang w:eastAsia="fr-LU"/>
        </w:rPr>
        <w:t xml:space="preserve"> </w:t>
      </w:r>
      <w:r w:rsidR="009B2CAB" w:rsidRPr="00C2457A">
        <w:rPr>
          <w:rFonts w:ascii="Arial" w:hAnsi="Arial" w:cs="Arial"/>
          <w:b/>
          <w:bCs/>
          <w:sz w:val="20"/>
          <w:szCs w:val="20"/>
        </w:rPr>
        <w:t xml:space="preserve">Graphique 1 – </w:t>
      </w:r>
      <w:r w:rsidR="008B2E12">
        <w:rPr>
          <w:rFonts w:ascii="Arial" w:hAnsi="Arial" w:cs="Arial"/>
          <w:b/>
          <w:bCs/>
          <w:sz w:val="20"/>
          <w:szCs w:val="20"/>
        </w:rPr>
        <w:t xml:space="preserve">L’évolution du classement en un </w:t>
      </w:r>
      <w:r w:rsidR="00A154B1">
        <w:rPr>
          <w:rFonts w:ascii="Arial" w:hAnsi="Arial" w:cs="Arial"/>
          <w:b/>
          <w:bCs/>
          <w:sz w:val="20"/>
          <w:szCs w:val="20"/>
        </w:rPr>
        <w:t>clin</w:t>
      </w:r>
      <w:r w:rsidR="008B2E12">
        <w:rPr>
          <w:rFonts w:ascii="Arial" w:hAnsi="Arial" w:cs="Arial"/>
          <w:b/>
          <w:bCs/>
          <w:sz w:val="20"/>
          <w:szCs w:val="20"/>
        </w:rPr>
        <w:t xml:space="preserve"> d’</w:t>
      </w:r>
      <w:r w:rsidR="00A154B1">
        <w:rPr>
          <w:rFonts w:ascii="Arial" w:hAnsi="Arial" w:cs="Arial"/>
          <w:b/>
          <w:bCs/>
          <w:sz w:val="20"/>
          <w:szCs w:val="20"/>
        </w:rPr>
        <w:t>œil</w:t>
      </w:r>
      <w:r w:rsidR="009B2CAB" w:rsidRPr="00C2457A">
        <w:rPr>
          <w:rFonts w:ascii="Arial" w:hAnsi="Arial" w:cs="Arial"/>
          <w:b/>
          <w:bCs/>
          <w:sz w:val="20"/>
          <w:szCs w:val="20"/>
        </w:rPr>
        <w:t xml:space="preserve"> </w:t>
      </w:r>
    </w:p>
    <w:p w:rsidR="00842CD3" w:rsidRPr="00C2457A" w:rsidRDefault="00BC4AC5"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sz w:val="20"/>
          <w:szCs w:val="20"/>
        </w:rPr>
      </w:pPr>
      <w:r>
        <w:rPr>
          <w:rFonts w:ascii="Arial" w:hAnsi="Arial" w:cs="Arial"/>
          <w:b/>
          <w:bCs/>
          <w:noProof/>
          <w:sz w:val="20"/>
          <w:szCs w:val="20"/>
          <w:lang w:val="en-US"/>
        </w:rPr>
        <w:drawing>
          <wp:anchor distT="0" distB="0" distL="114300" distR="114300" simplePos="0" relativeHeight="251682816" behindDoc="0" locked="0" layoutInCell="1" allowOverlap="1">
            <wp:simplePos x="0" y="0"/>
            <wp:positionH relativeFrom="column">
              <wp:posOffset>1010285</wp:posOffset>
            </wp:positionH>
            <wp:positionV relativeFrom="paragraph">
              <wp:posOffset>28575</wp:posOffset>
            </wp:positionV>
            <wp:extent cx="4244577" cy="2190750"/>
            <wp:effectExtent l="19050" t="0" r="357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249035" cy="2193051"/>
                    </a:xfrm>
                    <a:prstGeom prst="rect">
                      <a:avLst/>
                    </a:prstGeom>
                    <a:noFill/>
                  </pic:spPr>
                </pic:pic>
              </a:graphicData>
            </a:graphic>
          </wp:anchor>
        </w:drawing>
      </w:r>
    </w:p>
    <w:p w:rsidR="00772AB1" w:rsidRDefault="00772AB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772AB1" w:rsidRDefault="00772AB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772AB1" w:rsidRDefault="00772AB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772AB1" w:rsidRDefault="00772AB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772AB1" w:rsidRDefault="00772AB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41EEB" w:rsidRDefault="00C41EEB" w:rsidP="00BE54ED">
      <w:pPr>
        <w:pBdr>
          <w:top w:val="single" w:sz="4" w:space="1" w:color="auto"/>
          <w:left w:val="single" w:sz="4" w:space="4" w:color="auto"/>
          <w:bottom w:val="single" w:sz="4" w:space="1" w:color="auto"/>
          <w:right w:val="single" w:sz="4" w:space="4" w:color="auto"/>
        </w:pBdr>
        <w:spacing w:after="0" w:line="259" w:lineRule="auto"/>
        <w:jc w:val="center"/>
        <w:rPr>
          <w:rFonts w:ascii="Arial" w:hAnsi="Arial" w:cs="Arial"/>
          <w:b/>
          <w:bCs/>
          <w:u w:val="single"/>
        </w:rPr>
      </w:pPr>
    </w:p>
    <w:p w:rsidR="00C05581" w:rsidRDefault="00C05581" w:rsidP="00BE54ED">
      <w:pPr>
        <w:spacing w:after="0" w:line="259" w:lineRule="auto"/>
        <w:rPr>
          <w:rFonts w:ascii="Arial" w:eastAsia="Times New Roman" w:hAnsi="Arial" w:cs="Arial"/>
          <w:lang w:eastAsia="fr-LU"/>
        </w:rPr>
        <w:sectPr w:rsidR="00C05581" w:rsidSect="008B2E12">
          <w:headerReference w:type="default" r:id="rId10"/>
          <w:pgSz w:w="11906" w:h="16838"/>
          <w:pgMar w:top="1304" w:right="992" w:bottom="1361" w:left="1304" w:header="709" w:footer="709" w:gutter="0"/>
          <w:cols w:space="708"/>
          <w:docGrid w:linePitch="360"/>
        </w:sectPr>
      </w:pPr>
    </w:p>
    <w:p w:rsidR="006615E3" w:rsidRPr="0016693F" w:rsidRDefault="00C05581" w:rsidP="00BE54ED">
      <w:pPr>
        <w:spacing w:after="0" w:line="259" w:lineRule="auto"/>
        <w:jc w:val="both"/>
        <w:rPr>
          <w:rFonts w:ascii="Arial" w:eastAsia="Times New Roman" w:hAnsi="Arial" w:cs="Arial"/>
          <w:lang w:eastAsia="fr-LU"/>
        </w:rPr>
      </w:pPr>
      <w:r>
        <w:rPr>
          <w:rFonts w:ascii="Arial" w:eastAsia="Times New Roman" w:hAnsi="Arial" w:cs="Arial"/>
          <w:lang w:eastAsia="fr-LU"/>
        </w:rPr>
        <w:lastRenderedPageBreak/>
        <w:t>P</w:t>
      </w:r>
      <w:r w:rsidR="000D3681" w:rsidRPr="0016693F">
        <w:rPr>
          <w:rFonts w:ascii="Arial" w:eastAsia="Times New Roman" w:hAnsi="Arial" w:cs="Arial"/>
          <w:lang w:eastAsia="fr-LU"/>
        </w:rPr>
        <w:t>ar la suite</w:t>
      </w:r>
      <w:r w:rsidR="0016693F" w:rsidRPr="0016693F">
        <w:rPr>
          <w:rFonts w:ascii="Arial" w:eastAsia="Times New Roman" w:hAnsi="Arial" w:cs="Arial"/>
          <w:lang w:eastAsia="fr-LU"/>
        </w:rPr>
        <w:t xml:space="preserve">, </w:t>
      </w:r>
      <w:r>
        <w:rPr>
          <w:rFonts w:ascii="Arial" w:eastAsia="Times New Roman" w:hAnsi="Arial" w:cs="Arial"/>
          <w:lang w:eastAsia="fr-LU"/>
        </w:rPr>
        <w:t>seront</w:t>
      </w:r>
      <w:r w:rsidR="0016693F" w:rsidRPr="0016693F">
        <w:rPr>
          <w:rFonts w:ascii="Arial" w:eastAsia="Times New Roman" w:hAnsi="Arial" w:cs="Arial"/>
          <w:lang w:eastAsia="fr-LU"/>
        </w:rPr>
        <w:t xml:space="preserve"> d’abord </w:t>
      </w:r>
      <w:r w:rsidR="0016693F">
        <w:rPr>
          <w:rFonts w:ascii="Arial" w:eastAsia="Times New Roman" w:hAnsi="Arial" w:cs="Arial"/>
          <w:lang w:eastAsia="fr-LU"/>
        </w:rPr>
        <w:t>résumés</w:t>
      </w:r>
      <w:r w:rsidR="006615E3" w:rsidRPr="0016693F">
        <w:rPr>
          <w:rFonts w:ascii="Arial" w:eastAsia="Times New Roman" w:hAnsi="Arial" w:cs="Arial"/>
          <w:lang w:eastAsia="fr-LU"/>
        </w:rPr>
        <w:t xml:space="preserve"> les faits saillants de l’étude</w:t>
      </w:r>
      <w:r>
        <w:rPr>
          <w:rFonts w:ascii="Arial" w:eastAsia="Times New Roman" w:hAnsi="Arial" w:cs="Arial"/>
          <w:lang w:eastAsia="fr-LU"/>
        </w:rPr>
        <w:t xml:space="preserve"> GCR 2014</w:t>
      </w:r>
      <w:r w:rsidRPr="0016693F">
        <w:rPr>
          <w:rFonts w:ascii="Arial" w:eastAsia="Times New Roman" w:hAnsi="Arial" w:cs="Arial"/>
          <w:lang w:eastAsia="fr-LU"/>
        </w:rPr>
        <w:t xml:space="preserve"> </w:t>
      </w:r>
      <w:r w:rsidR="006615E3" w:rsidRPr="0016693F">
        <w:rPr>
          <w:rFonts w:ascii="Arial" w:eastAsia="Times New Roman" w:hAnsi="Arial" w:cs="Arial"/>
          <w:lang w:eastAsia="fr-LU"/>
        </w:rPr>
        <w:t>au niveau</w:t>
      </w:r>
      <w:r>
        <w:rPr>
          <w:rFonts w:ascii="Arial" w:eastAsia="Times New Roman" w:hAnsi="Arial" w:cs="Arial"/>
          <w:lang w:eastAsia="fr-LU"/>
        </w:rPr>
        <w:t xml:space="preserve"> </w:t>
      </w:r>
      <w:r w:rsidR="006615E3" w:rsidRPr="0016693F">
        <w:rPr>
          <w:rFonts w:ascii="Arial" w:eastAsia="Times New Roman" w:hAnsi="Arial" w:cs="Arial"/>
          <w:lang w:eastAsia="fr-LU"/>
        </w:rPr>
        <w:t xml:space="preserve">national, et ce par sous-indice de compétitivité, à savoir (1), les « conditions de base » (institutions, infrastructures, environnement macroéconomique, santé et enseignement primaire) ; (2) les </w:t>
      </w:r>
      <w:r w:rsidR="00BE54ED">
        <w:rPr>
          <w:rFonts w:ascii="Arial" w:eastAsia="Times New Roman" w:hAnsi="Arial" w:cs="Arial"/>
          <w:lang w:eastAsia="fr-LU"/>
        </w:rPr>
        <w:br/>
      </w:r>
      <w:r w:rsidR="006615E3" w:rsidRPr="0016693F">
        <w:rPr>
          <w:rFonts w:ascii="Arial" w:eastAsia="Times New Roman" w:hAnsi="Arial" w:cs="Arial"/>
          <w:lang w:eastAsia="fr-LU"/>
        </w:rPr>
        <w:t xml:space="preserve">« facteurs d’efficacité » (enseignement </w:t>
      </w:r>
      <w:r w:rsidR="0016693F">
        <w:rPr>
          <w:rFonts w:ascii="Arial" w:eastAsia="Times New Roman" w:hAnsi="Arial" w:cs="Arial"/>
          <w:lang w:eastAsia="fr-LU"/>
        </w:rPr>
        <w:t>post-primaire</w:t>
      </w:r>
      <w:r w:rsidR="006615E3" w:rsidRPr="0016693F">
        <w:rPr>
          <w:rFonts w:ascii="Arial" w:eastAsia="Times New Roman" w:hAnsi="Arial" w:cs="Arial"/>
          <w:lang w:eastAsia="fr-LU"/>
        </w:rPr>
        <w:t xml:space="preserve"> et formation, efficacité du marché des biens, efficacité du marché de travail, développement du marché financier, aptitude technologique, taille du marché) ; et (3) les « vecteurs d’innovation » (sophistication des activités et innovation). </w:t>
      </w:r>
      <w:r>
        <w:rPr>
          <w:rFonts w:ascii="Arial" w:eastAsia="Times New Roman" w:hAnsi="Arial" w:cs="Arial"/>
          <w:lang w:eastAsia="fr-LU"/>
        </w:rPr>
        <w:t xml:space="preserve">Cet aperçu des résultats </w:t>
      </w:r>
      <w:r w:rsidR="000F2ED2">
        <w:rPr>
          <w:rFonts w:ascii="Arial" w:eastAsia="Times New Roman" w:hAnsi="Arial" w:cs="Arial"/>
          <w:lang w:eastAsia="fr-LU"/>
        </w:rPr>
        <w:t>nationaux</w:t>
      </w:r>
      <w:r>
        <w:rPr>
          <w:rFonts w:ascii="Arial" w:eastAsia="Times New Roman" w:hAnsi="Arial" w:cs="Arial"/>
          <w:lang w:eastAsia="fr-LU"/>
        </w:rPr>
        <w:t xml:space="preserve"> </w:t>
      </w:r>
      <w:r w:rsidR="001E1F94" w:rsidRPr="0016693F">
        <w:rPr>
          <w:rFonts w:ascii="Arial" w:eastAsia="Times New Roman" w:hAnsi="Arial" w:cs="Arial"/>
          <w:lang w:eastAsia="fr-LU"/>
        </w:rPr>
        <w:t>sera</w:t>
      </w:r>
      <w:r>
        <w:rPr>
          <w:rFonts w:ascii="Arial" w:eastAsia="Times New Roman" w:hAnsi="Arial" w:cs="Arial"/>
          <w:lang w:eastAsia="fr-LU"/>
        </w:rPr>
        <w:t xml:space="preserve"> </w:t>
      </w:r>
      <w:r w:rsidR="001E1F94" w:rsidRPr="0016693F">
        <w:rPr>
          <w:rFonts w:ascii="Arial" w:eastAsia="Times New Roman" w:hAnsi="Arial" w:cs="Arial"/>
          <w:lang w:eastAsia="fr-LU"/>
        </w:rPr>
        <w:t>suivi</w:t>
      </w:r>
      <w:r w:rsidR="006615E3" w:rsidRPr="0016693F">
        <w:rPr>
          <w:rFonts w:ascii="Arial" w:eastAsia="Times New Roman" w:hAnsi="Arial" w:cs="Arial"/>
          <w:lang w:eastAsia="fr-LU"/>
        </w:rPr>
        <w:t xml:space="preserve"> d’une analyse des</w:t>
      </w:r>
      <w:r>
        <w:rPr>
          <w:rFonts w:ascii="Arial" w:eastAsia="Times New Roman" w:hAnsi="Arial" w:cs="Arial"/>
          <w:lang w:eastAsia="fr-LU"/>
        </w:rPr>
        <w:t xml:space="preserve"> principaux</w:t>
      </w:r>
      <w:r w:rsidR="006615E3" w:rsidRPr="0016693F">
        <w:rPr>
          <w:rFonts w:ascii="Arial" w:eastAsia="Times New Roman" w:hAnsi="Arial" w:cs="Arial"/>
          <w:lang w:eastAsia="fr-LU"/>
        </w:rPr>
        <w:t xml:space="preserve"> résultats au niveau international ainsi que </w:t>
      </w:r>
      <w:r>
        <w:rPr>
          <w:rFonts w:ascii="Arial" w:eastAsia="Times New Roman" w:hAnsi="Arial" w:cs="Arial"/>
          <w:lang w:eastAsia="fr-LU"/>
        </w:rPr>
        <w:t>d’un examen</w:t>
      </w:r>
      <w:r w:rsidR="000F2ED2">
        <w:rPr>
          <w:rFonts w:ascii="Arial" w:eastAsia="Times New Roman" w:hAnsi="Arial" w:cs="Arial"/>
          <w:lang w:eastAsia="fr-LU"/>
        </w:rPr>
        <w:t xml:space="preserve"> détaillé</w:t>
      </w:r>
      <w:r w:rsidR="006615E3" w:rsidRPr="0016693F">
        <w:rPr>
          <w:rFonts w:ascii="Arial" w:eastAsia="Times New Roman" w:hAnsi="Arial" w:cs="Arial"/>
          <w:lang w:eastAsia="fr-LU"/>
        </w:rPr>
        <w:t xml:space="preserve"> </w:t>
      </w:r>
      <w:r>
        <w:rPr>
          <w:rFonts w:ascii="Arial" w:eastAsia="Times New Roman" w:hAnsi="Arial" w:cs="Arial"/>
          <w:lang w:eastAsia="fr-LU"/>
        </w:rPr>
        <w:t>des</w:t>
      </w:r>
      <w:r w:rsidR="0016693F" w:rsidRPr="0016693F">
        <w:rPr>
          <w:rFonts w:ascii="Arial" w:eastAsia="Times New Roman" w:hAnsi="Arial" w:cs="Arial"/>
          <w:lang w:eastAsia="fr-LU"/>
        </w:rPr>
        <w:t xml:space="preserve"> résultats du Grand-D</w:t>
      </w:r>
      <w:r w:rsidR="006615E3" w:rsidRPr="0016693F">
        <w:rPr>
          <w:rFonts w:ascii="Arial" w:eastAsia="Times New Roman" w:hAnsi="Arial" w:cs="Arial"/>
          <w:lang w:eastAsia="fr-LU"/>
        </w:rPr>
        <w:t>uché. A la fin du dossier, la Chambre de Commerce</w:t>
      </w:r>
      <w:r w:rsidR="00D323D2">
        <w:rPr>
          <w:rFonts w:ascii="Arial" w:eastAsia="Times New Roman" w:hAnsi="Arial" w:cs="Arial"/>
          <w:lang w:eastAsia="fr-LU"/>
        </w:rPr>
        <w:t xml:space="preserve"> </w:t>
      </w:r>
      <w:r w:rsidR="006615E3" w:rsidRPr="0016693F">
        <w:rPr>
          <w:rFonts w:ascii="Arial" w:eastAsia="Times New Roman" w:hAnsi="Arial" w:cs="Arial"/>
          <w:lang w:eastAsia="fr-LU"/>
        </w:rPr>
        <w:t>reproduit, d’une part, le classement intégral par indicateur de compétitivité</w:t>
      </w:r>
      <w:r w:rsidR="00793D3E">
        <w:rPr>
          <w:rFonts w:ascii="Arial" w:eastAsia="Times New Roman" w:hAnsi="Arial" w:cs="Arial"/>
          <w:lang w:eastAsia="fr-LU"/>
        </w:rPr>
        <w:t xml:space="preserve"> et procède, d</w:t>
      </w:r>
      <w:r w:rsidR="006615E3" w:rsidRPr="0016693F">
        <w:rPr>
          <w:rFonts w:ascii="Arial" w:eastAsia="Times New Roman" w:hAnsi="Arial" w:cs="Arial"/>
          <w:lang w:eastAsia="fr-LU"/>
        </w:rPr>
        <w:t xml:space="preserve">’autre part, à la présentation de la méthodologie </w:t>
      </w:r>
      <w:r w:rsidR="000F2ED2">
        <w:rPr>
          <w:rFonts w:ascii="Arial" w:eastAsia="Times New Roman" w:hAnsi="Arial" w:cs="Arial"/>
          <w:lang w:eastAsia="fr-LU"/>
        </w:rPr>
        <w:t>de l’étude CGR.</w:t>
      </w:r>
    </w:p>
    <w:p w:rsidR="00C05581" w:rsidRPr="003A239A" w:rsidRDefault="00C05581" w:rsidP="00BE54ED">
      <w:pPr>
        <w:spacing w:after="0" w:line="259" w:lineRule="auto"/>
        <w:rPr>
          <w:rFonts w:ascii="Arial" w:eastAsia="Times New Roman" w:hAnsi="Arial" w:cs="Arial"/>
          <w:lang w:eastAsia="fr-LU"/>
        </w:rPr>
      </w:pPr>
    </w:p>
    <w:p w:rsidR="000D3681" w:rsidRPr="00C05581" w:rsidRDefault="000D3681" w:rsidP="00BE54ED">
      <w:pPr>
        <w:spacing w:after="0" w:line="259" w:lineRule="auto"/>
        <w:rPr>
          <w:rFonts w:ascii="Arial" w:hAnsi="Arial" w:cs="Arial"/>
          <w:b/>
          <w:u w:val="single"/>
        </w:rPr>
      </w:pPr>
      <w:r w:rsidRPr="00C05581">
        <w:rPr>
          <w:rFonts w:ascii="Arial" w:hAnsi="Arial" w:cs="Arial"/>
          <w:b/>
          <w:u w:val="single"/>
        </w:rPr>
        <w:t xml:space="preserve">La performance du Luxembourg - les faits </w:t>
      </w:r>
      <w:r w:rsidR="00D323D2">
        <w:rPr>
          <w:rFonts w:ascii="Arial" w:hAnsi="Arial" w:cs="Arial"/>
          <w:b/>
          <w:u w:val="single"/>
        </w:rPr>
        <w:t>essentiels</w:t>
      </w:r>
    </w:p>
    <w:p w:rsidR="00C05581" w:rsidRDefault="00C05581" w:rsidP="00BE54ED">
      <w:pPr>
        <w:spacing w:after="0" w:line="259" w:lineRule="auto"/>
        <w:jc w:val="both"/>
        <w:rPr>
          <w:rFonts w:ascii="Arial" w:eastAsia="Times New Roman" w:hAnsi="Arial" w:cs="Arial"/>
          <w:lang w:eastAsia="fr-LU"/>
        </w:rPr>
      </w:pPr>
    </w:p>
    <w:p w:rsidR="00F05A4F" w:rsidRDefault="00F05A4F" w:rsidP="00BE54ED">
      <w:pPr>
        <w:spacing w:after="0" w:line="259" w:lineRule="auto"/>
        <w:jc w:val="both"/>
        <w:rPr>
          <w:rFonts w:ascii="Arial" w:eastAsia="Times New Roman" w:hAnsi="Arial" w:cs="Arial"/>
          <w:lang w:eastAsia="fr-LU"/>
        </w:rPr>
      </w:pPr>
      <w:r>
        <w:rPr>
          <w:rFonts w:ascii="Arial" w:eastAsia="Times New Roman" w:hAnsi="Arial" w:cs="Arial"/>
          <w:lang w:eastAsia="fr-LU"/>
        </w:rPr>
        <w:t>Au niveau des trois sous-</w:t>
      </w:r>
      <w:r w:rsidR="00AA1762">
        <w:rPr>
          <w:rFonts w:ascii="Arial" w:eastAsia="Times New Roman" w:hAnsi="Arial" w:cs="Arial"/>
          <w:lang w:eastAsia="fr-LU"/>
        </w:rPr>
        <w:t>indices</w:t>
      </w:r>
      <w:r>
        <w:rPr>
          <w:rFonts w:ascii="Arial" w:eastAsia="Times New Roman" w:hAnsi="Arial" w:cs="Arial"/>
          <w:lang w:eastAsia="fr-LU"/>
        </w:rPr>
        <w:t xml:space="preserve"> pris en compte pour évaluer la compétitivité </w:t>
      </w:r>
      <w:r w:rsidR="006615E3">
        <w:rPr>
          <w:rFonts w:ascii="Arial" w:eastAsia="Times New Roman" w:hAnsi="Arial" w:cs="Arial"/>
          <w:lang w:eastAsia="fr-LU"/>
        </w:rPr>
        <w:t xml:space="preserve">du </w:t>
      </w:r>
      <w:r w:rsidR="00C05581">
        <w:rPr>
          <w:rFonts w:ascii="Arial" w:eastAsia="Times New Roman" w:hAnsi="Arial" w:cs="Arial"/>
          <w:lang w:eastAsia="fr-LU"/>
        </w:rPr>
        <w:t>Luxembourg</w:t>
      </w:r>
      <w:r>
        <w:rPr>
          <w:rFonts w:ascii="Arial" w:eastAsia="Times New Roman" w:hAnsi="Arial" w:cs="Arial"/>
          <w:lang w:eastAsia="fr-LU"/>
        </w:rPr>
        <w:t>, le progrès le plus important a été enregistré</w:t>
      </w:r>
      <w:r w:rsidR="00A56384">
        <w:rPr>
          <w:rFonts w:ascii="Arial" w:eastAsia="Times New Roman" w:hAnsi="Arial" w:cs="Arial"/>
          <w:lang w:eastAsia="fr-LU"/>
        </w:rPr>
        <w:t xml:space="preserve"> au niveau des</w:t>
      </w:r>
      <w:r>
        <w:rPr>
          <w:rFonts w:ascii="Arial" w:eastAsia="Times New Roman" w:hAnsi="Arial" w:cs="Arial"/>
          <w:lang w:eastAsia="fr-LU"/>
        </w:rPr>
        <w:t xml:space="preserve"> conditions de base. Passant de la 11</w:t>
      </w:r>
      <w:r w:rsidRPr="005D113B">
        <w:rPr>
          <w:rFonts w:ascii="Arial" w:eastAsia="Times New Roman" w:hAnsi="Arial" w:cs="Arial"/>
          <w:vertAlign w:val="superscript"/>
          <w:lang w:eastAsia="fr-LU"/>
        </w:rPr>
        <w:t>e</w:t>
      </w:r>
      <w:r>
        <w:rPr>
          <w:rFonts w:ascii="Arial" w:eastAsia="Times New Roman" w:hAnsi="Arial" w:cs="Arial"/>
          <w:lang w:eastAsia="fr-LU"/>
        </w:rPr>
        <w:t xml:space="preserve"> à la 7</w:t>
      </w:r>
      <w:r w:rsidRPr="005D113B">
        <w:rPr>
          <w:rFonts w:ascii="Arial" w:eastAsia="Times New Roman" w:hAnsi="Arial" w:cs="Arial"/>
          <w:vertAlign w:val="superscript"/>
          <w:lang w:eastAsia="fr-LU"/>
        </w:rPr>
        <w:t>e</w:t>
      </w:r>
      <w:r>
        <w:rPr>
          <w:rFonts w:ascii="Arial" w:eastAsia="Times New Roman" w:hAnsi="Arial" w:cs="Arial"/>
          <w:lang w:eastAsia="fr-LU"/>
        </w:rPr>
        <w:t xml:space="preserve"> place par rapport à </w:t>
      </w:r>
      <w:r w:rsidR="00BE54ED">
        <w:rPr>
          <w:rFonts w:ascii="Arial" w:eastAsia="Times New Roman" w:hAnsi="Arial" w:cs="Arial"/>
          <w:lang w:eastAsia="fr-LU"/>
        </w:rPr>
        <w:t>2013</w:t>
      </w:r>
      <w:r>
        <w:rPr>
          <w:rFonts w:ascii="Arial" w:eastAsia="Times New Roman" w:hAnsi="Arial" w:cs="Arial"/>
          <w:lang w:eastAsia="fr-LU"/>
        </w:rPr>
        <w:t xml:space="preserve">, </w:t>
      </w:r>
      <w:r w:rsidR="0083368B">
        <w:rPr>
          <w:rFonts w:ascii="Arial" w:eastAsia="Times New Roman" w:hAnsi="Arial" w:cs="Arial"/>
          <w:lang w:eastAsia="fr-LU"/>
        </w:rPr>
        <w:t>l</w:t>
      </w:r>
      <w:r w:rsidR="00C05581">
        <w:rPr>
          <w:rFonts w:ascii="Arial" w:eastAsia="Times New Roman" w:hAnsi="Arial" w:cs="Arial"/>
          <w:lang w:eastAsia="fr-LU"/>
        </w:rPr>
        <w:t>e pays</w:t>
      </w:r>
      <w:r>
        <w:rPr>
          <w:rFonts w:ascii="Arial" w:eastAsia="Times New Roman" w:hAnsi="Arial" w:cs="Arial"/>
          <w:lang w:eastAsia="fr-LU"/>
        </w:rPr>
        <w:t xml:space="preserve"> renoue avec son</w:t>
      </w:r>
      <w:r w:rsidR="003F0FB4">
        <w:rPr>
          <w:rFonts w:ascii="Arial" w:eastAsia="Times New Roman" w:hAnsi="Arial" w:cs="Arial"/>
          <w:lang w:eastAsia="fr-LU"/>
        </w:rPr>
        <w:t xml:space="preserve"> excellent</w:t>
      </w:r>
      <w:r>
        <w:rPr>
          <w:rFonts w:ascii="Arial" w:eastAsia="Times New Roman" w:hAnsi="Arial" w:cs="Arial"/>
          <w:lang w:eastAsia="fr-LU"/>
        </w:rPr>
        <w:t xml:space="preserve"> classement de 2011 (6</w:t>
      </w:r>
      <w:r w:rsidRPr="005D113B">
        <w:rPr>
          <w:rFonts w:ascii="Arial" w:eastAsia="Times New Roman" w:hAnsi="Arial" w:cs="Arial"/>
          <w:vertAlign w:val="superscript"/>
          <w:lang w:eastAsia="fr-LU"/>
        </w:rPr>
        <w:t>e</w:t>
      </w:r>
      <w:r>
        <w:rPr>
          <w:rFonts w:ascii="Arial" w:eastAsia="Times New Roman" w:hAnsi="Arial" w:cs="Arial"/>
          <w:lang w:eastAsia="fr-LU"/>
        </w:rPr>
        <w:t xml:space="preserve"> place). Cette embellie </w:t>
      </w:r>
      <w:r w:rsidR="00711726">
        <w:rPr>
          <w:rFonts w:ascii="Arial" w:eastAsia="Times New Roman" w:hAnsi="Arial" w:cs="Arial"/>
          <w:lang w:eastAsia="fr-LU"/>
        </w:rPr>
        <w:t>s’explique</w:t>
      </w:r>
      <w:r>
        <w:rPr>
          <w:rFonts w:ascii="Arial" w:eastAsia="Times New Roman" w:hAnsi="Arial" w:cs="Arial"/>
          <w:lang w:eastAsia="fr-LU"/>
        </w:rPr>
        <w:t xml:space="preserve"> par le renforcement des piliers relatifs aux institutions (+4 ; 6</w:t>
      </w:r>
      <w:r w:rsidRPr="00627EA0">
        <w:rPr>
          <w:rFonts w:ascii="Arial" w:eastAsia="Times New Roman" w:hAnsi="Arial" w:cs="Arial"/>
          <w:vertAlign w:val="superscript"/>
          <w:lang w:eastAsia="fr-LU"/>
        </w:rPr>
        <w:t>e</w:t>
      </w:r>
      <w:r>
        <w:rPr>
          <w:rFonts w:ascii="Arial" w:eastAsia="Times New Roman" w:hAnsi="Arial" w:cs="Arial"/>
          <w:lang w:eastAsia="fr-LU"/>
        </w:rPr>
        <w:t xml:space="preserve"> place) et à l’environnement macroéconomique (+7 ; 8</w:t>
      </w:r>
      <w:r w:rsidRPr="00627EA0">
        <w:rPr>
          <w:rFonts w:ascii="Arial" w:eastAsia="Times New Roman" w:hAnsi="Arial" w:cs="Arial"/>
          <w:vertAlign w:val="superscript"/>
          <w:lang w:eastAsia="fr-LU"/>
        </w:rPr>
        <w:t>e</w:t>
      </w:r>
      <w:r>
        <w:rPr>
          <w:rFonts w:ascii="Arial" w:eastAsia="Times New Roman" w:hAnsi="Arial" w:cs="Arial"/>
          <w:lang w:eastAsia="fr-LU"/>
        </w:rPr>
        <w:t xml:space="preserve"> place). En ce qui concerne les institutions, </w:t>
      </w:r>
      <w:r w:rsidR="00A56384">
        <w:rPr>
          <w:rFonts w:ascii="Arial" w:eastAsia="Times New Roman" w:hAnsi="Arial" w:cs="Arial"/>
          <w:lang w:eastAsia="fr-LU"/>
        </w:rPr>
        <w:t xml:space="preserve">il y a surtout lieu de relever </w:t>
      </w:r>
      <w:r w:rsidR="00AC3FDF">
        <w:rPr>
          <w:rFonts w:ascii="Arial" w:eastAsia="Times New Roman" w:hAnsi="Arial" w:cs="Arial"/>
          <w:lang w:eastAsia="fr-LU"/>
        </w:rPr>
        <w:t>l’amélioration de</w:t>
      </w:r>
      <w:r w:rsidR="00F72E7A">
        <w:rPr>
          <w:rFonts w:ascii="Arial" w:eastAsia="Times New Roman" w:hAnsi="Arial" w:cs="Arial"/>
          <w:lang w:eastAsia="fr-LU"/>
        </w:rPr>
        <w:t xml:space="preserve"> </w:t>
      </w:r>
      <w:r w:rsidR="00AC3FDF">
        <w:rPr>
          <w:rFonts w:ascii="Arial" w:hAnsi="Arial" w:cs="Arial"/>
          <w:lang w:val="fr-FR"/>
        </w:rPr>
        <w:t>l’indicateur mesurant le</w:t>
      </w:r>
      <w:r w:rsidR="00AC3FDF" w:rsidRPr="00860B45">
        <w:rPr>
          <w:rFonts w:ascii="Arial" w:hAnsi="Arial" w:cs="Arial"/>
          <w:lang w:val="fr-FR"/>
        </w:rPr>
        <w:t xml:space="preserve"> poids</w:t>
      </w:r>
      <w:r w:rsidR="00AC3FDF">
        <w:rPr>
          <w:rFonts w:ascii="Arial" w:hAnsi="Arial" w:cs="Arial"/>
          <w:lang w:val="fr-FR"/>
        </w:rPr>
        <w:t xml:space="preserve"> ressenti</w:t>
      </w:r>
      <w:r w:rsidR="00AC3FDF" w:rsidRPr="00860B45">
        <w:rPr>
          <w:rFonts w:ascii="Arial" w:hAnsi="Arial" w:cs="Arial"/>
          <w:lang w:val="fr-FR"/>
        </w:rPr>
        <w:t xml:space="preserve"> de la rég</w:t>
      </w:r>
      <w:r w:rsidR="00AC3FDF">
        <w:rPr>
          <w:rFonts w:ascii="Arial" w:hAnsi="Arial" w:cs="Arial"/>
          <w:lang w:val="fr-FR"/>
        </w:rPr>
        <w:t>lementation</w:t>
      </w:r>
      <w:r w:rsidR="00AA1762">
        <w:rPr>
          <w:rFonts w:ascii="Arial" w:hAnsi="Arial" w:cs="Arial"/>
          <w:lang w:val="fr-FR"/>
        </w:rPr>
        <w:t xml:space="preserve"> (9</w:t>
      </w:r>
      <w:r w:rsidR="00AA1762" w:rsidRPr="00AA1762">
        <w:rPr>
          <w:rFonts w:ascii="Arial" w:hAnsi="Arial" w:cs="Arial"/>
          <w:vertAlign w:val="superscript"/>
          <w:lang w:val="fr-FR"/>
        </w:rPr>
        <w:t>e</w:t>
      </w:r>
      <w:r w:rsidR="00AA1762">
        <w:rPr>
          <w:rFonts w:ascii="Arial" w:hAnsi="Arial" w:cs="Arial"/>
          <w:lang w:val="fr-FR"/>
        </w:rPr>
        <w:t xml:space="preserve"> place en 2014)</w:t>
      </w:r>
      <w:r w:rsidR="00F72E7A">
        <w:rPr>
          <w:rFonts w:ascii="Arial" w:eastAsia="Times New Roman" w:hAnsi="Arial" w:cs="Arial"/>
          <w:lang w:eastAsia="fr-LU"/>
        </w:rPr>
        <w:t xml:space="preserve">, signe </w:t>
      </w:r>
      <w:r w:rsidR="007F2466">
        <w:rPr>
          <w:rFonts w:ascii="Arial" w:eastAsia="Times New Roman" w:hAnsi="Arial" w:cs="Arial"/>
          <w:lang w:eastAsia="fr-LU"/>
        </w:rPr>
        <w:t xml:space="preserve">que la volonté du gouvernement </w:t>
      </w:r>
      <w:r w:rsidR="00C05581">
        <w:rPr>
          <w:rFonts w:ascii="Arial" w:eastAsia="Times New Roman" w:hAnsi="Arial" w:cs="Arial"/>
          <w:lang w:eastAsia="fr-LU"/>
        </w:rPr>
        <w:t>d’œuvrer en faveur de</w:t>
      </w:r>
      <w:r w:rsidR="007F2466">
        <w:rPr>
          <w:rFonts w:ascii="Arial" w:eastAsia="Times New Roman" w:hAnsi="Arial" w:cs="Arial"/>
          <w:lang w:eastAsia="fr-LU"/>
        </w:rPr>
        <w:t xml:space="preserve"> la simplification administrative est bien accueillie</w:t>
      </w:r>
      <w:r w:rsidR="00AC3FDF">
        <w:rPr>
          <w:rFonts w:ascii="Arial" w:eastAsia="Times New Roman" w:hAnsi="Arial" w:cs="Arial"/>
          <w:lang w:eastAsia="fr-LU"/>
        </w:rPr>
        <w:t xml:space="preserve"> par les chefs d’entreprise</w:t>
      </w:r>
      <w:r w:rsidR="007F2466">
        <w:rPr>
          <w:rFonts w:ascii="Arial" w:eastAsia="Times New Roman" w:hAnsi="Arial" w:cs="Arial"/>
          <w:lang w:eastAsia="fr-LU"/>
        </w:rPr>
        <w:t xml:space="preserve">. </w:t>
      </w:r>
      <w:r w:rsidR="00C05581">
        <w:rPr>
          <w:rFonts w:ascii="Arial" w:eastAsia="Times New Roman" w:hAnsi="Arial" w:cs="Arial"/>
          <w:lang w:eastAsia="fr-LU"/>
        </w:rPr>
        <w:t>Le cadre</w:t>
      </w:r>
      <w:r>
        <w:rPr>
          <w:rFonts w:ascii="Arial" w:eastAsia="Times New Roman" w:hAnsi="Arial" w:cs="Arial"/>
          <w:lang w:eastAsia="fr-LU"/>
        </w:rPr>
        <w:t xml:space="preserve"> macroéconomique a vu une amélioration</w:t>
      </w:r>
      <w:r w:rsidR="000F0B99">
        <w:rPr>
          <w:rFonts w:ascii="Arial" w:eastAsia="Times New Roman" w:hAnsi="Arial" w:cs="Arial"/>
          <w:lang w:eastAsia="fr-LU"/>
        </w:rPr>
        <w:t xml:space="preserve"> notamment </w:t>
      </w:r>
      <w:r>
        <w:rPr>
          <w:rFonts w:ascii="Arial" w:eastAsia="Times New Roman" w:hAnsi="Arial" w:cs="Arial"/>
          <w:lang w:eastAsia="fr-LU"/>
        </w:rPr>
        <w:t xml:space="preserve">au niveau du solde budgétaire. Les résultats sont </w:t>
      </w:r>
      <w:r w:rsidR="00AA1762">
        <w:rPr>
          <w:rFonts w:ascii="Arial" w:eastAsia="Times New Roman" w:hAnsi="Arial" w:cs="Arial"/>
          <w:lang w:eastAsia="fr-LU"/>
        </w:rPr>
        <w:t>moins</w:t>
      </w:r>
      <w:r>
        <w:rPr>
          <w:rFonts w:ascii="Arial" w:eastAsia="Times New Roman" w:hAnsi="Arial" w:cs="Arial"/>
          <w:lang w:eastAsia="fr-LU"/>
        </w:rPr>
        <w:t xml:space="preserve"> satisfaisants pour les deux piliers qui restent : des problèmes subsistent au niveau des infrastructures (-3 ; 16</w:t>
      </w:r>
      <w:r w:rsidRPr="00CF13C2">
        <w:rPr>
          <w:rFonts w:ascii="Arial" w:eastAsia="Times New Roman" w:hAnsi="Arial" w:cs="Arial"/>
          <w:vertAlign w:val="superscript"/>
          <w:lang w:eastAsia="fr-LU"/>
        </w:rPr>
        <w:t>e</w:t>
      </w:r>
      <w:r w:rsidR="003F0FB4">
        <w:rPr>
          <w:rFonts w:ascii="Arial" w:eastAsia="Times New Roman" w:hAnsi="Arial" w:cs="Arial"/>
          <w:lang w:eastAsia="fr-LU"/>
        </w:rPr>
        <w:t xml:space="preserve"> place) et du</w:t>
      </w:r>
      <w:r>
        <w:rPr>
          <w:rFonts w:ascii="Arial" w:eastAsia="Times New Roman" w:hAnsi="Arial" w:cs="Arial"/>
          <w:lang w:eastAsia="fr-LU"/>
        </w:rPr>
        <w:t xml:space="preserve"> pilier relatif à la santé et</w:t>
      </w:r>
      <w:r w:rsidR="003F0FB4">
        <w:rPr>
          <w:rFonts w:ascii="Arial" w:eastAsia="Times New Roman" w:hAnsi="Arial" w:cs="Arial"/>
          <w:lang w:eastAsia="fr-LU"/>
        </w:rPr>
        <w:t xml:space="preserve"> à </w:t>
      </w:r>
      <w:r>
        <w:rPr>
          <w:rFonts w:ascii="Arial" w:eastAsia="Times New Roman" w:hAnsi="Arial" w:cs="Arial"/>
          <w:lang w:eastAsia="fr-LU"/>
        </w:rPr>
        <w:t>l’enseignement primaire</w:t>
      </w:r>
      <w:r w:rsidR="003F0FB4">
        <w:rPr>
          <w:rFonts w:ascii="Arial" w:eastAsia="Times New Roman" w:hAnsi="Arial" w:cs="Arial"/>
          <w:lang w:eastAsia="fr-LU"/>
        </w:rPr>
        <w:t xml:space="preserve"> qui</w:t>
      </w:r>
      <w:r>
        <w:rPr>
          <w:rFonts w:ascii="Arial" w:eastAsia="Times New Roman" w:hAnsi="Arial" w:cs="Arial"/>
          <w:lang w:eastAsia="fr-LU"/>
        </w:rPr>
        <w:t xml:space="preserve"> stagne </w:t>
      </w:r>
      <w:r w:rsidR="003F0FB4">
        <w:rPr>
          <w:rFonts w:ascii="Arial" w:eastAsia="Times New Roman" w:hAnsi="Arial" w:cs="Arial"/>
          <w:lang w:eastAsia="fr-LU"/>
        </w:rPr>
        <w:t>à</w:t>
      </w:r>
      <w:r>
        <w:rPr>
          <w:rFonts w:ascii="Arial" w:eastAsia="Times New Roman" w:hAnsi="Arial" w:cs="Arial"/>
          <w:lang w:eastAsia="fr-LU"/>
        </w:rPr>
        <w:t xml:space="preserve"> la 36</w:t>
      </w:r>
      <w:r w:rsidRPr="00CF13C2">
        <w:rPr>
          <w:rFonts w:ascii="Arial" w:eastAsia="Times New Roman" w:hAnsi="Arial" w:cs="Arial"/>
          <w:vertAlign w:val="superscript"/>
          <w:lang w:eastAsia="fr-LU"/>
        </w:rPr>
        <w:t>e</w:t>
      </w:r>
      <w:r>
        <w:rPr>
          <w:rFonts w:ascii="Arial" w:eastAsia="Times New Roman" w:hAnsi="Arial" w:cs="Arial"/>
          <w:lang w:eastAsia="fr-LU"/>
        </w:rPr>
        <w:t xml:space="preserve"> place.</w:t>
      </w:r>
    </w:p>
    <w:p w:rsidR="00C05581" w:rsidRDefault="00C05581" w:rsidP="00BE54ED">
      <w:pPr>
        <w:spacing w:after="0" w:line="259" w:lineRule="auto"/>
        <w:jc w:val="both"/>
        <w:rPr>
          <w:rFonts w:ascii="Arial" w:eastAsia="Times New Roman" w:hAnsi="Arial" w:cs="Arial"/>
          <w:lang w:eastAsia="fr-LU"/>
        </w:rPr>
      </w:pPr>
    </w:p>
    <w:p w:rsidR="00F05A4F" w:rsidRDefault="00AA1762" w:rsidP="00BE54ED">
      <w:pPr>
        <w:spacing w:after="0" w:line="259" w:lineRule="auto"/>
        <w:jc w:val="both"/>
        <w:rPr>
          <w:rFonts w:ascii="Arial" w:eastAsia="Times New Roman" w:hAnsi="Arial" w:cs="Arial"/>
          <w:lang w:eastAsia="fr-LU"/>
        </w:rPr>
      </w:pPr>
      <w:r>
        <w:rPr>
          <w:rFonts w:ascii="Arial" w:eastAsia="Times New Roman" w:hAnsi="Arial" w:cs="Arial"/>
          <w:lang w:eastAsia="fr-LU"/>
        </w:rPr>
        <w:t>Quant au</w:t>
      </w:r>
      <w:r w:rsidR="00F05A4F">
        <w:rPr>
          <w:rFonts w:ascii="Arial" w:eastAsia="Times New Roman" w:hAnsi="Arial" w:cs="Arial"/>
          <w:lang w:eastAsia="fr-LU"/>
        </w:rPr>
        <w:t xml:space="preserve"> deuxième sous-indice</w:t>
      </w:r>
      <w:r>
        <w:rPr>
          <w:rFonts w:ascii="Arial" w:eastAsia="Times New Roman" w:hAnsi="Arial" w:cs="Arial"/>
          <w:lang w:eastAsia="fr-LU"/>
        </w:rPr>
        <w:t>,</w:t>
      </w:r>
      <w:r w:rsidR="00F05A4F">
        <w:rPr>
          <w:rFonts w:ascii="Arial" w:eastAsia="Times New Roman" w:hAnsi="Arial" w:cs="Arial"/>
          <w:lang w:eastAsia="fr-LU"/>
        </w:rPr>
        <w:t xml:space="preserve"> </w:t>
      </w:r>
      <w:r w:rsidR="000F2ED2">
        <w:rPr>
          <w:rFonts w:ascii="Arial" w:eastAsia="Times New Roman" w:hAnsi="Arial" w:cs="Arial"/>
          <w:lang w:eastAsia="fr-LU"/>
        </w:rPr>
        <w:t>lié</w:t>
      </w:r>
      <w:r w:rsidR="00F05A4F">
        <w:rPr>
          <w:rFonts w:ascii="Arial" w:eastAsia="Times New Roman" w:hAnsi="Arial" w:cs="Arial"/>
          <w:lang w:eastAsia="fr-LU"/>
        </w:rPr>
        <w:t xml:space="preserve"> aux facteurs d’efficacité, le Luxembourg occupe de nouveau le 22</w:t>
      </w:r>
      <w:r w:rsidR="00F05A4F" w:rsidRPr="00664E47">
        <w:rPr>
          <w:rFonts w:ascii="Arial" w:eastAsia="Times New Roman" w:hAnsi="Arial" w:cs="Arial"/>
          <w:vertAlign w:val="superscript"/>
          <w:lang w:eastAsia="fr-LU"/>
        </w:rPr>
        <w:t>e</w:t>
      </w:r>
      <w:r w:rsidR="00F05A4F">
        <w:rPr>
          <w:rFonts w:ascii="Arial" w:eastAsia="Times New Roman" w:hAnsi="Arial" w:cs="Arial"/>
          <w:lang w:eastAsia="fr-LU"/>
        </w:rPr>
        <w:t xml:space="preserve"> rang. Il y a cependant lieu de relever que </w:t>
      </w:r>
      <w:r w:rsidR="0083368B">
        <w:rPr>
          <w:rFonts w:ascii="Arial" w:eastAsia="Times New Roman" w:hAnsi="Arial" w:cs="Arial"/>
          <w:lang w:eastAsia="fr-LU"/>
        </w:rPr>
        <w:t>l</w:t>
      </w:r>
      <w:r w:rsidR="0077544E">
        <w:rPr>
          <w:rFonts w:ascii="Arial" w:eastAsia="Times New Roman" w:hAnsi="Arial" w:cs="Arial"/>
          <w:lang w:eastAsia="fr-LU"/>
        </w:rPr>
        <w:t>e pays</w:t>
      </w:r>
      <w:r w:rsidR="00F05A4F">
        <w:rPr>
          <w:rFonts w:ascii="Arial" w:eastAsia="Times New Roman" w:hAnsi="Arial" w:cs="Arial"/>
          <w:lang w:eastAsia="fr-LU"/>
        </w:rPr>
        <w:t xml:space="preserve"> remporte la palme d’or pour ses</w:t>
      </w:r>
      <w:r w:rsidR="00731FED">
        <w:rPr>
          <w:rFonts w:ascii="Arial" w:eastAsia="Times New Roman" w:hAnsi="Arial" w:cs="Arial"/>
          <w:lang w:eastAsia="fr-LU"/>
        </w:rPr>
        <w:t xml:space="preserve"> aptitudes technologiques, une</w:t>
      </w:r>
      <w:r w:rsidR="00F05A4F">
        <w:rPr>
          <w:rFonts w:ascii="Arial" w:eastAsia="Times New Roman" w:hAnsi="Arial" w:cs="Arial"/>
          <w:lang w:eastAsia="fr-LU"/>
        </w:rPr>
        <w:t xml:space="preserve"> bonne nouvelle pou</w:t>
      </w:r>
      <w:r w:rsidR="0077544E">
        <w:rPr>
          <w:rFonts w:ascii="Arial" w:eastAsia="Times New Roman" w:hAnsi="Arial" w:cs="Arial"/>
          <w:lang w:eastAsia="fr-LU"/>
        </w:rPr>
        <w:t>r le secteur moteur des TIC</w:t>
      </w:r>
      <w:r>
        <w:rPr>
          <w:rFonts w:ascii="Arial" w:eastAsia="Times New Roman" w:hAnsi="Arial" w:cs="Arial"/>
          <w:lang w:eastAsia="fr-LU"/>
        </w:rPr>
        <w:t>,</w:t>
      </w:r>
      <w:r w:rsidR="0013609F">
        <w:rPr>
          <w:rFonts w:ascii="Arial" w:eastAsia="Times New Roman" w:hAnsi="Arial" w:cs="Arial"/>
          <w:lang w:eastAsia="fr-LU"/>
        </w:rPr>
        <w:t xml:space="preserve"> </w:t>
      </w:r>
      <w:r w:rsidR="0013609F">
        <w:rPr>
          <w:rFonts w:ascii="Arial" w:hAnsi="Arial" w:cs="Arial"/>
          <w:lang w:val="fr-FR"/>
        </w:rPr>
        <w:t xml:space="preserve">qui représente par ailleurs un </w:t>
      </w:r>
      <w:r w:rsidR="000F2ED2">
        <w:rPr>
          <w:rFonts w:ascii="Arial" w:hAnsi="Arial" w:cs="Arial"/>
          <w:lang w:val="fr-FR"/>
        </w:rPr>
        <w:t xml:space="preserve">important </w:t>
      </w:r>
      <w:r w:rsidR="0013609F">
        <w:rPr>
          <w:rFonts w:ascii="Arial" w:hAnsi="Arial" w:cs="Arial"/>
          <w:lang w:val="fr-FR"/>
        </w:rPr>
        <w:t xml:space="preserve">prestataire de service </w:t>
      </w:r>
      <w:r w:rsidR="00D323D2">
        <w:rPr>
          <w:rFonts w:ascii="Arial" w:hAnsi="Arial" w:cs="Arial"/>
          <w:lang w:val="fr-FR"/>
        </w:rPr>
        <w:t>pour les</w:t>
      </w:r>
      <w:r w:rsidR="0013609F">
        <w:rPr>
          <w:rFonts w:ascii="Arial" w:hAnsi="Arial" w:cs="Arial"/>
          <w:lang w:val="fr-FR"/>
        </w:rPr>
        <w:t xml:space="preserve"> autres branches d’activité. </w:t>
      </w:r>
      <w:r w:rsidR="00F05A4F">
        <w:rPr>
          <w:rFonts w:ascii="Arial" w:eastAsia="Times New Roman" w:hAnsi="Arial" w:cs="Arial"/>
          <w:lang w:eastAsia="fr-LU"/>
        </w:rPr>
        <w:t>En attendant la réforme du Lycée, le Luxembourg peut</w:t>
      </w:r>
      <w:r>
        <w:rPr>
          <w:rFonts w:ascii="Arial" w:eastAsia="Times New Roman" w:hAnsi="Arial" w:cs="Arial"/>
          <w:lang w:eastAsia="fr-LU"/>
        </w:rPr>
        <w:t xml:space="preserve"> d’ores et déjà</w:t>
      </w:r>
      <w:r w:rsidR="00D323D2">
        <w:rPr>
          <w:rFonts w:ascii="Arial" w:eastAsia="Times New Roman" w:hAnsi="Arial" w:cs="Arial"/>
          <w:lang w:eastAsia="fr-LU"/>
        </w:rPr>
        <w:t xml:space="preserve"> se réjouir d’une amélioration </w:t>
      </w:r>
      <w:r w:rsidR="00F05A4F">
        <w:rPr>
          <w:rFonts w:ascii="Arial" w:eastAsia="Times New Roman" w:hAnsi="Arial" w:cs="Arial"/>
          <w:lang w:eastAsia="fr-LU"/>
        </w:rPr>
        <w:t>de la qualité</w:t>
      </w:r>
      <w:r>
        <w:rPr>
          <w:rFonts w:ascii="Arial" w:eastAsia="Times New Roman" w:hAnsi="Arial" w:cs="Arial"/>
          <w:lang w:eastAsia="fr-LU"/>
        </w:rPr>
        <w:t xml:space="preserve"> perçu</w:t>
      </w:r>
      <w:r w:rsidR="00BE54ED">
        <w:rPr>
          <w:rFonts w:ascii="Arial" w:eastAsia="Times New Roman" w:hAnsi="Arial" w:cs="Arial"/>
          <w:lang w:eastAsia="fr-LU"/>
        </w:rPr>
        <w:t>e</w:t>
      </w:r>
      <w:r>
        <w:rPr>
          <w:rFonts w:ascii="Arial" w:eastAsia="Times New Roman" w:hAnsi="Arial" w:cs="Arial"/>
          <w:lang w:eastAsia="fr-LU"/>
        </w:rPr>
        <w:t xml:space="preserve"> du système d</w:t>
      </w:r>
      <w:r w:rsidR="00F05A4F">
        <w:rPr>
          <w:rFonts w:ascii="Arial" w:eastAsia="Times New Roman" w:hAnsi="Arial" w:cs="Arial"/>
          <w:lang w:eastAsia="fr-LU"/>
        </w:rPr>
        <w:t>’éducation</w:t>
      </w:r>
      <w:r>
        <w:rPr>
          <w:rFonts w:ascii="Arial" w:eastAsia="Times New Roman" w:hAnsi="Arial" w:cs="Arial"/>
          <w:lang w:eastAsia="fr-LU"/>
        </w:rPr>
        <w:t xml:space="preserve"> </w:t>
      </w:r>
      <w:r w:rsidR="00F05A4F">
        <w:rPr>
          <w:rFonts w:ascii="Arial" w:eastAsia="Times New Roman" w:hAnsi="Arial" w:cs="Arial"/>
          <w:lang w:eastAsia="fr-LU"/>
        </w:rPr>
        <w:t>(+9 ; 25</w:t>
      </w:r>
      <w:r w:rsidR="00F05A4F" w:rsidRPr="00C2010F">
        <w:rPr>
          <w:rFonts w:ascii="Arial" w:eastAsia="Times New Roman" w:hAnsi="Arial" w:cs="Arial"/>
          <w:vertAlign w:val="superscript"/>
          <w:lang w:eastAsia="fr-LU"/>
        </w:rPr>
        <w:t>e</w:t>
      </w:r>
      <w:r w:rsidR="00F05A4F">
        <w:rPr>
          <w:rFonts w:ascii="Arial" w:eastAsia="Times New Roman" w:hAnsi="Arial" w:cs="Arial"/>
          <w:lang w:eastAsia="fr-LU"/>
        </w:rPr>
        <w:t xml:space="preserve"> place)</w:t>
      </w:r>
      <w:r w:rsidR="007F2466">
        <w:rPr>
          <w:rFonts w:ascii="Arial" w:eastAsia="Times New Roman" w:hAnsi="Arial" w:cs="Arial"/>
          <w:lang w:eastAsia="fr-LU"/>
        </w:rPr>
        <w:t>, indicateur</w:t>
      </w:r>
      <w:r w:rsidR="0077544E">
        <w:rPr>
          <w:rFonts w:ascii="Arial" w:eastAsia="Times New Roman" w:hAnsi="Arial" w:cs="Arial"/>
          <w:lang w:eastAsia="fr-LU"/>
        </w:rPr>
        <w:t xml:space="preserve"> sous-jacent a</w:t>
      </w:r>
      <w:r w:rsidR="00F05A4F">
        <w:rPr>
          <w:rFonts w:ascii="Arial" w:eastAsia="Times New Roman" w:hAnsi="Arial" w:cs="Arial"/>
          <w:lang w:eastAsia="fr-LU"/>
        </w:rPr>
        <w:t xml:space="preserve">u pilier de l’éducation post-primaire. </w:t>
      </w:r>
      <w:r w:rsidR="00364F73">
        <w:rPr>
          <w:rFonts w:ascii="Arial" w:eastAsia="Times New Roman" w:hAnsi="Arial" w:cs="Arial"/>
          <w:lang w:eastAsia="fr-LU"/>
        </w:rPr>
        <w:t xml:space="preserve">D’autres piliers affichent une tendance baissière ou </w:t>
      </w:r>
      <w:r w:rsidR="000F2ED2">
        <w:rPr>
          <w:rFonts w:ascii="Arial" w:eastAsia="Times New Roman" w:hAnsi="Arial" w:cs="Arial"/>
          <w:lang w:eastAsia="fr-LU"/>
        </w:rPr>
        <w:t>stagnent</w:t>
      </w:r>
      <w:r w:rsidR="00364F73">
        <w:rPr>
          <w:rFonts w:ascii="Arial" w:eastAsia="Times New Roman" w:hAnsi="Arial" w:cs="Arial"/>
          <w:lang w:eastAsia="fr-LU"/>
        </w:rPr>
        <w:t xml:space="preserve">. </w:t>
      </w:r>
      <w:r w:rsidR="0013609F">
        <w:rPr>
          <w:rFonts w:ascii="Arial" w:eastAsia="Times New Roman" w:hAnsi="Arial" w:cs="Arial"/>
          <w:lang w:eastAsia="fr-LU"/>
        </w:rPr>
        <w:t xml:space="preserve">Pour ce qui est </w:t>
      </w:r>
      <w:r w:rsidR="00F05A4F">
        <w:rPr>
          <w:rFonts w:ascii="Arial" w:eastAsia="Times New Roman" w:hAnsi="Arial" w:cs="Arial"/>
          <w:lang w:eastAsia="fr-LU"/>
        </w:rPr>
        <w:t>du marché du travail</w:t>
      </w:r>
      <w:r w:rsidR="0013609F">
        <w:rPr>
          <w:rFonts w:ascii="Arial" w:eastAsia="Times New Roman" w:hAnsi="Arial" w:cs="Arial"/>
          <w:lang w:eastAsia="fr-LU"/>
        </w:rPr>
        <w:t>, les problèmes</w:t>
      </w:r>
      <w:r>
        <w:rPr>
          <w:rFonts w:ascii="Arial" w:eastAsia="Times New Roman" w:hAnsi="Arial" w:cs="Arial"/>
          <w:lang w:eastAsia="fr-LU"/>
        </w:rPr>
        <w:t xml:space="preserve"> sont connus,</w:t>
      </w:r>
      <w:r w:rsidR="006E0F4F">
        <w:rPr>
          <w:rFonts w:ascii="Arial" w:eastAsia="Times New Roman" w:hAnsi="Arial" w:cs="Arial"/>
          <w:lang w:eastAsia="fr-LU"/>
        </w:rPr>
        <w:t xml:space="preserve"> </w:t>
      </w:r>
      <w:r>
        <w:rPr>
          <w:rFonts w:ascii="Arial" w:eastAsia="Times New Roman" w:hAnsi="Arial" w:cs="Arial"/>
          <w:lang w:eastAsia="fr-LU"/>
        </w:rPr>
        <w:t>le manque de</w:t>
      </w:r>
      <w:r w:rsidR="00E63540">
        <w:rPr>
          <w:rFonts w:ascii="Arial" w:eastAsia="Times New Roman" w:hAnsi="Arial" w:cs="Arial"/>
          <w:lang w:eastAsia="fr-LU"/>
        </w:rPr>
        <w:t xml:space="preserve"> flexibilité concernant la fixation des salaires</w:t>
      </w:r>
      <w:r w:rsidR="006E0F4F">
        <w:rPr>
          <w:rFonts w:ascii="Arial" w:eastAsia="Times New Roman" w:hAnsi="Arial" w:cs="Arial"/>
          <w:lang w:eastAsia="fr-LU"/>
        </w:rPr>
        <w:t xml:space="preserve"> demeurant </w:t>
      </w:r>
      <w:r w:rsidR="000F2ED2">
        <w:rPr>
          <w:rFonts w:ascii="Arial" w:eastAsia="Times New Roman" w:hAnsi="Arial" w:cs="Arial"/>
          <w:lang w:eastAsia="fr-LU"/>
        </w:rPr>
        <w:t>l’</w:t>
      </w:r>
      <w:r w:rsidR="002872C6">
        <w:rPr>
          <w:rFonts w:ascii="Arial" w:eastAsia="Times New Roman" w:hAnsi="Arial" w:cs="Arial"/>
          <w:lang w:eastAsia="fr-LU"/>
        </w:rPr>
        <w:t>un des</w:t>
      </w:r>
      <w:r w:rsidR="006E0F4F">
        <w:rPr>
          <w:rFonts w:ascii="Arial" w:eastAsia="Times New Roman" w:hAnsi="Arial" w:cs="Arial"/>
          <w:lang w:eastAsia="fr-LU"/>
        </w:rPr>
        <w:t xml:space="preserve"> indicateur</w:t>
      </w:r>
      <w:r w:rsidR="002872C6">
        <w:rPr>
          <w:rFonts w:ascii="Arial" w:eastAsia="Times New Roman" w:hAnsi="Arial" w:cs="Arial"/>
          <w:lang w:eastAsia="fr-LU"/>
        </w:rPr>
        <w:t>s</w:t>
      </w:r>
      <w:r w:rsidR="006E0F4F">
        <w:rPr>
          <w:rFonts w:ascii="Arial" w:eastAsia="Times New Roman" w:hAnsi="Arial" w:cs="Arial"/>
          <w:lang w:eastAsia="fr-LU"/>
        </w:rPr>
        <w:t xml:space="preserve"> le</w:t>
      </w:r>
      <w:r w:rsidR="002872C6">
        <w:rPr>
          <w:rFonts w:ascii="Arial" w:eastAsia="Times New Roman" w:hAnsi="Arial" w:cs="Arial"/>
          <w:lang w:eastAsia="fr-LU"/>
        </w:rPr>
        <w:t>s</w:t>
      </w:r>
      <w:r w:rsidR="006E0F4F">
        <w:rPr>
          <w:rFonts w:ascii="Arial" w:eastAsia="Times New Roman" w:hAnsi="Arial" w:cs="Arial"/>
          <w:lang w:eastAsia="fr-LU"/>
        </w:rPr>
        <w:t xml:space="preserve"> plus problématique</w:t>
      </w:r>
      <w:r w:rsidR="002872C6">
        <w:rPr>
          <w:rFonts w:ascii="Arial" w:eastAsia="Times New Roman" w:hAnsi="Arial" w:cs="Arial"/>
          <w:lang w:eastAsia="fr-LU"/>
        </w:rPr>
        <w:t>s</w:t>
      </w:r>
      <w:r w:rsidR="006E0F4F">
        <w:rPr>
          <w:rFonts w:ascii="Arial" w:eastAsia="Times New Roman" w:hAnsi="Arial" w:cs="Arial"/>
          <w:lang w:eastAsia="fr-LU"/>
        </w:rPr>
        <w:t xml:space="preserve"> </w:t>
      </w:r>
      <w:r w:rsidR="002872C6">
        <w:rPr>
          <w:rFonts w:ascii="Arial" w:eastAsia="Times New Roman" w:hAnsi="Arial" w:cs="Arial"/>
          <w:lang w:eastAsia="fr-LU"/>
        </w:rPr>
        <w:t>(96</w:t>
      </w:r>
      <w:r w:rsidR="002872C6" w:rsidRPr="002872C6">
        <w:rPr>
          <w:rFonts w:ascii="Arial" w:eastAsia="Times New Roman" w:hAnsi="Arial" w:cs="Arial"/>
          <w:vertAlign w:val="superscript"/>
          <w:lang w:eastAsia="fr-LU"/>
        </w:rPr>
        <w:t>e</w:t>
      </w:r>
      <w:r w:rsidR="002872C6">
        <w:rPr>
          <w:rFonts w:ascii="Arial" w:eastAsia="Times New Roman" w:hAnsi="Arial" w:cs="Arial"/>
          <w:lang w:eastAsia="fr-LU"/>
        </w:rPr>
        <w:t xml:space="preserve"> place)</w:t>
      </w:r>
      <w:r w:rsidR="006F6D4D">
        <w:rPr>
          <w:rFonts w:ascii="Arial" w:eastAsia="Times New Roman" w:hAnsi="Arial" w:cs="Arial"/>
          <w:lang w:eastAsia="fr-LU"/>
        </w:rPr>
        <w:t xml:space="preserve">. </w:t>
      </w:r>
      <w:r w:rsidR="00F05A4F">
        <w:rPr>
          <w:rFonts w:ascii="Arial" w:eastAsia="Times New Roman" w:hAnsi="Arial" w:cs="Arial"/>
          <w:lang w:eastAsia="fr-LU"/>
        </w:rPr>
        <w:t>Les deux derniers piliers</w:t>
      </w:r>
      <w:r w:rsidR="002872C6">
        <w:rPr>
          <w:rFonts w:ascii="Arial" w:eastAsia="Times New Roman" w:hAnsi="Arial" w:cs="Arial"/>
          <w:lang w:eastAsia="fr-LU"/>
        </w:rPr>
        <w:t>,</w:t>
      </w:r>
      <w:r w:rsidR="00F05A4F">
        <w:rPr>
          <w:rFonts w:ascii="Arial" w:eastAsia="Times New Roman" w:hAnsi="Arial" w:cs="Arial"/>
          <w:lang w:eastAsia="fr-LU"/>
        </w:rPr>
        <w:t xml:space="preserve"> liés à l’efficacité du marché des biens (5</w:t>
      </w:r>
      <w:r w:rsidR="00F05A4F" w:rsidRPr="007459A7">
        <w:rPr>
          <w:rFonts w:ascii="Arial" w:eastAsia="Times New Roman" w:hAnsi="Arial" w:cs="Arial"/>
          <w:vertAlign w:val="superscript"/>
          <w:lang w:eastAsia="fr-LU"/>
        </w:rPr>
        <w:t>e</w:t>
      </w:r>
      <w:r w:rsidR="00F05A4F">
        <w:rPr>
          <w:rFonts w:ascii="Arial" w:eastAsia="Times New Roman" w:hAnsi="Arial" w:cs="Arial"/>
          <w:lang w:eastAsia="fr-LU"/>
        </w:rPr>
        <w:t xml:space="preserve"> place) et au développement du secteur financier (14</w:t>
      </w:r>
      <w:r w:rsidR="00F05A4F" w:rsidRPr="00CB5828">
        <w:rPr>
          <w:rFonts w:ascii="Arial" w:eastAsia="Times New Roman" w:hAnsi="Arial" w:cs="Arial"/>
          <w:vertAlign w:val="superscript"/>
          <w:lang w:eastAsia="fr-LU"/>
        </w:rPr>
        <w:t>e</w:t>
      </w:r>
      <w:r w:rsidR="00F05A4F">
        <w:rPr>
          <w:rFonts w:ascii="Arial" w:eastAsia="Times New Roman" w:hAnsi="Arial" w:cs="Arial"/>
          <w:lang w:eastAsia="fr-LU"/>
        </w:rPr>
        <w:t xml:space="preserve"> place) </w:t>
      </w:r>
      <w:r w:rsidR="00423426">
        <w:rPr>
          <w:rFonts w:ascii="Arial" w:eastAsia="Times New Roman" w:hAnsi="Arial" w:cs="Arial"/>
          <w:lang w:eastAsia="fr-LU"/>
        </w:rPr>
        <w:t xml:space="preserve">n’enregistrent </w:t>
      </w:r>
      <w:r w:rsidR="00D323D2">
        <w:rPr>
          <w:rFonts w:ascii="Arial" w:eastAsia="Times New Roman" w:hAnsi="Arial" w:cs="Arial"/>
          <w:lang w:eastAsia="fr-LU"/>
        </w:rPr>
        <w:t>aucun</w:t>
      </w:r>
      <w:r w:rsidR="00F05A4F">
        <w:rPr>
          <w:rFonts w:ascii="Arial" w:eastAsia="Times New Roman" w:hAnsi="Arial" w:cs="Arial"/>
          <w:lang w:eastAsia="fr-LU"/>
        </w:rPr>
        <w:t xml:space="preserve"> changement.</w:t>
      </w:r>
    </w:p>
    <w:p w:rsidR="00C05581" w:rsidRDefault="00C05581" w:rsidP="00BE54ED">
      <w:pPr>
        <w:spacing w:after="0" w:line="259" w:lineRule="auto"/>
        <w:jc w:val="both"/>
        <w:rPr>
          <w:rFonts w:ascii="Arial" w:eastAsia="Times New Roman" w:hAnsi="Arial" w:cs="Arial"/>
          <w:lang w:eastAsia="fr-LU"/>
        </w:rPr>
      </w:pPr>
    </w:p>
    <w:p w:rsidR="00F05A4F" w:rsidRDefault="00F05A4F" w:rsidP="00BE54ED">
      <w:pPr>
        <w:spacing w:after="0" w:line="259" w:lineRule="auto"/>
        <w:jc w:val="both"/>
        <w:rPr>
          <w:rFonts w:ascii="Arial" w:eastAsia="Times New Roman" w:hAnsi="Arial" w:cs="Arial"/>
          <w:lang w:eastAsia="fr-LU"/>
        </w:rPr>
      </w:pPr>
      <w:r>
        <w:rPr>
          <w:rFonts w:ascii="Arial" w:eastAsia="Times New Roman" w:hAnsi="Arial" w:cs="Arial"/>
          <w:lang w:eastAsia="fr-LU"/>
        </w:rPr>
        <w:t xml:space="preserve">Quant au sous-indice évaluant la compétitivité en matière d’innovation, le Luxembourg </w:t>
      </w:r>
      <w:r w:rsidR="002872C6">
        <w:rPr>
          <w:rFonts w:ascii="Arial" w:eastAsia="Times New Roman" w:hAnsi="Arial" w:cs="Arial"/>
          <w:lang w:eastAsia="fr-LU"/>
        </w:rPr>
        <w:t xml:space="preserve">consolide largement son positionnement, affichant </w:t>
      </w:r>
      <w:r w:rsidR="00BE54ED">
        <w:rPr>
          <w:rFonts w:ascii="Arial" w:eastAsia="Times New Roman" w:hAnsi="Arial" w:cs="Arial"/>
          <w:lang w:eastAsia="fr-LU"/>
        </w:rPr>
        <w:t>une</w:t>
      </w:r>
      <w:r w:rsidR="002872C6">
        <w:rPr>
          <w:rFonts w:ascii="Arial" w:eastAsia="Times New Roman" w:hAnsi="Arial" w:cs="Arial"/>
          <w:lang w:eastAsia="fr-LU"/>
        </w:rPr>
        <w:t xml:space="preserve"> 17</w:t>
      </w:r>
      <w:r w:rsidR="002872C6" w:rsidRPr="002872C6">
        <w:rPr>
          <w:rFonts w:ascii="Arial" w:eastAsia="Times New Roman" w:hAnsi="Arial" w:cs="Arial"/>
          <w:vertAlign w:val="superscript"/>
          <w:lang w:eastAsia="fr-LU"/>
        </w:rPr>
        <w:t>e</w:t>
      </w:r>
      <w:r w:rsidR="002872C6">
        <w:rPr>
          <w:rFonts w:ascii="Arial" w:eastAsia="Times New Roman" w:hAnsi="Arial" w:cs="Arial"/>
          <w:lang w:eastAsia="fr-LU"/>
        </w:rPr>
        <w:t xml:space="preserve"> place</w:t>
      </w:r>
      <w:r>
        <w:rPr>
          <w:rFonts w:ascii="Arial" w:eastAsia="Times New Roman" w:hAnsi="Arial" w:cs="Arial"/>
          <w:lang w:eastAsia="fr-LU"/>
        </w:rPr>
        <w:t xml:space="preserve">. Cette évolution est à considérer de façon nuancée, </w:t>
      </w:r>
      <w:r w:rsidR="006F6D4D">
        <w:rPr>
          <w:rFonts w:ascii="Arial" w:eastAsia="Times New Roman" w:hAnsi="Arial" w:cs="Arial"/>
          <w:lang w:eastAsia="fr-LU"/>
        </w:rPr>
        <w:t>car elle cache l’insuffisance d’une</w:t>
      </w:r>
      <w:r w:rsidR="00673B76">
        <w:rPr>
          <w:rFonts w:ascii="Arial" w:eastAsia="Times New Roman" w:hAnsi="Arial" w:cs="Arial"/>
          <w:lang w:eastAsia="fr-LU"/>
        </w:rPr>
        <w:t xml:space="preserve"> main-</w:t>
      </w:r>
      <w:r>
        <w:rPr>
          <w:rFonts w:ascii="Arial" w:eastAsia="Times New Roman" w:hAnsi="Arial" w:cs="Arial"/>
          <w:lang w:eastAsia="fr-LU"/>
        </w:rPr>
        <w:t>d’œuvre hautement qualifiée et le recul des</w:t>
      </w:r>
      <w:r w:rsidR="00673B76">
        <w:rPr>
          <w:rFonts w:ascii="Arial" w:eastAsia="Times New Roman" w:hAnsi="Arial" w:cs="Arial"/>
          <w:lang w:eastAsia="fr-LU"/>
        </w:rPr>
        <w:t xml:space="preserve"> intentions d’</w:t>
      </w:r>
      <w:r>
        <w:rPr>
          <w:rFonts w:ascii="Arial" w:eastAsia="Times New Roman" w:hAnsi="Arial" w:cs="Arial"/>
          <w:lang w:eastAsia="fr-LU"/>
        </w:rPr>
        <w:t xml:space="preserve">investissements </w:t>
      </w:r>
      <w:r w:rsidR="006F6D4D">
        <w:rPr>
          <w:rFonts w:ascii="Arial" w:eastAsia="Times New Roman" w:hAnsi="Arial" w:cs="Arial"/>
          <w:lang w:eastAsia="fr-LU"/>
        </w:rPr>
        <w:t xml:space="preserve">des entreprises </w:t>
      </w:r>
      <w:r>
        <w:rPr>
          <w:rFonts w:ascii="Arial" w:eastAsia="Times New Roman" w:hAnsi="Arial" w:cs="Arial"/>
          <w:lang w:eastAsia="fr-LU"/>
        </w:rPr>
        <w:t xml:space="preserve">dans la R&amp;D, alors que ces deux composantes sont cruciales pour </w:t>
      </w:r>
      <w:r w:rsidR="006F6D4D">
        <w:rPr>
          <w:rFonts w:ascii="Arial" w:eastAsia="Times New Roman" w:hAnsi="Arial" w:cs="Arial"/>
          <w:lang w:eastAsia="fr-LU"/>
        </w:rPr>
        <w:t xml:space="preserve">assurer </w:t>
      </w:r>
      <w:r>
        <w:rPr>
          <w:rFonts w:ascii="Arial" w:eastAsia="Times New Roman" w:hAnsi="Arial" w:cs="Arial"/>
          <w:lang w:eastAsia="fr-LU"/>
        </w:rPr>
        <w:t>une évolution favorable des nombreux marchés de niches contribuant pour une grande partie à la croissance économique luxembourgeoise.</w:t>
      </w:r>
    </w:p>
    <w:p w:rsidR="00C05581" w:rsidRDefault="00C05581" w:rsidP="00BE54ED">
      <w:pPr>
        <w:spacing w:after="0" w:line="259" w:lineRule="auto"/>
        <w:jc w:val="both"/>
        <w:rPr>
          <w:rFonts w:ascii="Arial" w:eastAsia="Times New Roman" w:hAnsi="Arial" w:cs="Arial"/>
          <w:lang w:eastAsia="fr-LU"/>
        </w:rPr>
      </w:pPr>
    </w:p>
    <w:p w:rsidR="00BE54ED" w:rsidRDefault="000F2ED2" w:rsidP="00BE54ED">
      <w:pPr>
        <w:spacing w:after="0" w:line="259" w:lineRule="auto"/>
        <w:jc w:val="both"/>
        <w:rPr>
          <w:rFonts w:ascii="Arial" w:eastAsia="Times New Roman" w:hAnsi="Arial" w:cs="Arial"/>
          <w:lang w:eastAsia="fr-LU"/>
        </w:rPr>
      </w:pPr>
      <w:r>
        <w:rPr>
          <w:rFonts w:ascii="Arial" w:eastAsia="Times New Roman" w:hAnsi="Arial" w:cs="Arial"/>
          <w:lang w:eastAsia="fr-LU"/>
        </w:rPr>
        <w:t>En synthèse</w:t>
      </w:r>
      <w:r w:rsidR="00673B76">
        <w:rPr>
          <w:rFonts w:ascii="Arial" w:eastAsia="Times New Roman" w:hAnsi="Arial" w:cs="Arial"/>
          <w:lang w:eastAsia="fr-LU"/>
        </w:rPr>
        <w:t>,</w:t>
      </w:r>
      <w:r>
        <w:rPr>
          <w:rFonts w:ascii="Arial" w:eastAsia="Times New Roman" w:hAnsi="Arial" w:cs="Arial"/>
          <w:lang w:eastAsia="fr-LU"/>
        </w:rPr>
        <w:t xml:space="preserve"> de l’avis de</w:t>
      </w:r>
      <w:r w:rsidR="00673B76">
        <w:rPr>
          <w:rFonts w:ascii="Arial" w:eastAsia="Times New Roman" w:hAnsi="Arial" w:cs="Arial"/>
          <w:lang w:eastAsia="fr-LU"/>
        </w:rPr>
        <w:t xml:space="preserve"> la Chambre de Commerce, l</w:t>
      </w:r>
      <w:r w:rsidR="00F05A4F">
        <w:rPr>
          <w:rFonts w:ascii="Arial" w:eastAsia="Times New Roman" w:hAnsi="Arial" w:cs="Arial"/>
          <w:lang w:eastAsia="fr-LU"/>
        </w:rPr>
        <w:t xml:space="preserve">’embellie au niveau du classement du Luxembourg dans </w:t>
      </w:r>
      <w:r w:rsidR="00793D3E">
        <w:rPr>
          <w:rFonts w:ascii="Arial" w:eastAsia="Times New Roman" w:hAnsi="Arial" w:cs="Arial"/>
          <w:lang w:eastAsia="fr-LU"/>
        </w:rPr>
        <w:t xml:space="preserve">le </w:t>
      </w:r>
      <w:r w:rsidR="00D323D2">
        <w:rPr>
          <w:rFonts w:ascii="Arial" w:eastAsia="Times New Roman" w:hAnsi="Arial" w:cs="Arial"/>
          <w:lang w:eastAsia="fr-LU"/>
        </w:rPr>
        <w:t>classement</w:t>
      </w:r>
      <w:r w:rsidR="00F05A4F">
        <w:rPr>
          <w:rFonts w:ascii="Arial" w:eastAsia="Times New Roman" w:hAnsi="Arial" w:cs="Arial"/>
          <w:lang w:eastAsia="fr-LU"/>
        </w:rPr>
        <w:t xml:space="preserve"> GCR 2014</w:t>
      </w:r>
      <w:r w:rsidR="00D52505">
        <w:rPr>
          <w:rFonts w:ascii="Arial" w:eastAsia="Times New Roman" w:hAnsi="Arial" w:cs="Arial"/>
          <w:lang w:eastAsia="fr-LU"/>
        </w:rPr>
        <w:t xml:space="preserve"> représente une bonne nouvelle, mais elle</w:t>
      </w:r>
      <w:r w:rsidR="00F05A4F">
        <w:rPr>
          <w:rFonts w:ascii="Arial" w:eastAsia="Times New Roman" w:hAnsi="Arial" w:cs="Arial"/>
          <w:lang w:eastAsia="fr-LU"/>
        </w:rPr>
        <w:t xml:space="preserve"> ne doit en aucun cas servir de</w:t>
      </w:r>
      <w:r w:rsidR="00F05A4F" w:rsidRPr="00B15430">
        <w:rPr>
          <w:rFonts w:ascii="Arial" w:eastAsia="Times New Roman" w:hAnsi="Arial" w:cs="Arial"/>
          <w:lang w:eastAsia="fr-LU"/>
        </w:rPr>
        <w:t xml:space="preserve"> motif d’autosa</w:t>
      </w:r>
      <w:r w:rsidR="00F05A4F">
        <w:rPr>
          <w:rFonts w:ascii="Arial" w:eastAsia="Times New Roman" w:hAnsi="Arial" w:cs="Arial"/>
          <w:lang w:eastAsia="fr-LU"/>
        </w:rPr>
        <w:t>tisfaction,</w:t>
      </w:r>
      <w:r w:rsidR="00E33D78">
        <w:rPr>
          <w:rFonts w:ascii="Arial" w:eastAsia="Times New Roman" w:hAnsi="Arial" w:cs="Arial"/>
          <w:lang w:eastAsia="fr-LU"/>
        </w:rPr>
        <w:t xml:space="preserve"> car </w:t>
      </w:r>
      <w:r w:rsidR="00BE54ED">
        <w:rPr>
          <w:rFonts w:ascii="Arial" w:eastAsia="Times New Roman" w:hAnsi="Arial" w:cs="Arial"/>
          <w:lang w:eastAsia="fr-LU"/>
        </w:rPr>
        <w:t>de</w:t>
      </w:r>
      <w:r w:rsidR="00E33D78">
        <w:rPr>
          <w:rFonts w:ascii="Arial" w:eastAsia="Times New Roman" w:hAnsi="Arial" w:cs="Arial"/>
          <w:lang w:eastAsia="fr-LU"/>
        </w:rPr>
        <w:t xml:space="preserve"> nombreuses faiblesses persistent.</w:t>
      </w:r>
      <w:r w:rsidR="00BE54ED">
        <w:rPr>
          <w:rFonts w:ascii="Arial" w:eastAsia="Times New Roman" w:hAnsi="Arial" w:cs="Arial"/>
          <w:lang w:eastAsia="fr-LU"/>
        </w:rPr>
        <w:t xml:space="preserve"> Il s’agira de prendre note des </w:t>
      </w:r>
      <w:r w:rsidR="00BE54ED" w:rsidRPr="00BE54ED">
        <w:rPr>
          <w:rFonts w:ascii="Arial" w:eastAsia="Times New Roman" w:hAnsi="Arial" w:cs="Arial"/>
          <w:lang w:eastAsia="fr-LU"/>
        </w:rPr>
        <w:t>signes encourageants</w:t>
      </w:r>
      <w:r>
        <w:rPr>
          <w:rFonts w:ascii="Arial" w:eastAsia="Times New Roman" w:hAnsi="Arial" w:cs="Arial"/>
          <w:lang w:eastAsia="fr-LU"/>
        </w:rPr>
        <w:t>,</w:t>
      </w:r>
      <w:r w:rsidR="00BE54ED">
        <w:rPr>
          <w:rFonts w:ascii="Arial" w:eastAsia="Times New Roman" w:hAnsi="Arial" w:cs="Arial"/>
          <w:lang w:eastAsia="fr-LU"/>
        </w:rPr>
        <w:t xml:space="preserve"> et</w:t>
      </w:r>
      <w:r w:rsidR="00BE54ED" w:rsidRPr="00BE54ED">
        <w:rPr>
          <w:rFonts w:ascii="Arial" w:eastAsia="Times New Roman" w:hAnsi="Arial" w:cs="Arial"/>
          <w:lang w:eastAsia="fr-LU"/>
        </w:rPr>
        <w:t xml:space="preserve"> sur lesquels il </w:t>
      </w:r>
      <w:r w:rsidR="00BE54ED">
        <w:rPr>
          <w:rFonts w:ascii="Arial" w:eastAsia="Times New Roman" w:hAnsi="Arial" w:cs="Arial"/>
          <w:lang w:eastAsia="fr-LU"/>
        </w:rPr>
        <w:t>faudra</w:t>
      </w:r>
      <w:r w:rsidR="00BE54ED" w:rsidRPr="00BE54ED">
        <w:rPr>
          <w:rFonts w:ascii="Arial" w:eastAsia="Times New Roman" w:hAnsi="Arial" w:cs="Arial"/>
          <w:lang w:eastAsia="fr-LU"/>
        </w:rPr>
        <w:t xml:space="preserve"> construire pour relever les défis</w:t>
      </w:r>
      <w:r w:rsidR="00BE54ED">
        <w:rPr>
          <w:rFonts w:ascii="Arial" w:eastAsia="Times New Roman" w:hAnsi="Arial" w:cs="Arial"/>
          <w:lang w:eastAsia="fr-LU"/>
        </w:rPr>
        <w:t xml:space="preserve"> - chômage, finances publiques, compétitivité-coût, diversification, simplification administrative, refonte du droit du travail, aménagement du territoire, réforme de la sécurité sociale pour n’en citer que quelques-uns -</w:t>
      </w:r>
      <w:r w:rsidR="00BE54ED" w:rsidRPr="00BE54ED">
        <w:rPr>
          <w:rFonts w:ascii="Arial" w:eastAsia="Times New Roman" w:hAnsi="Arial" w:cs="Arial"/>
          <w:lang w:eastAsia="fr-LU"/>
        </w:rPr>
        <w:t xml:space="preserve"> avec courage et détermination</w:t>
      </w:r>
      <w:r w:rsidR="00BE54ED">
        <w:rPr>
          <w:rFonts w:ascii="Arial" w:eastAsia="Times New Roman" w:hAnsi="Arial" w:cs="Arial"/>
          <w:lang w:eastAsia="fr-LU"/>
        </w:rPr>
        <w:t>.</w:t>
      </w:r>
    </w:p>
    <w:p w:rsidR="00C05581" w:rsidRDefault="00C05581" w:rsidP="00BE54ED">
      <w:pPr>
        <w:pStyle w:val="CDCNorm"/>
        <w:tabs>
          <w:tab w:val="left" w:pos="6674"/>
        </w:tabs>
        <w:spacing w:line="259" w:lineRule="auto"/>
        <w:rPr>
          <w:b/>
          <w:szCs w:val="22"/>
          <w:lang w:val="fr-FR"/>
        </w:rPr>
        <w:sectPr w:rsidR="00C05581" w:rsidSect="000F2ED2">
          <w:pgSz w:w="11906" w:h="16838"/>
          <w:pgMar w:top="1304" w:right="964" w:bottom="1361"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175FC" w:rsidRPr="00F05A4F" w:rsidRDefault="000F5663" w:rsidP="00BE54ED">
      <w:pPr>
        <w:spacing w:after="0" w:line="259" w:lineRule="auto"/>
        <w:rPr>
          <w:rFonts w:ascii="Arial" w:hAnsi="Arial" w:cs="Times New Roman"/>
          <w:lang w:val="fr-FR" w:eastAsia="fr-LU"/>
        </w:rPr>
      </w:pPr>
      <w:r>
        <w:rPr>
          <w:rFonts w:ascii="Arial" w:hAnsi="Arial" w:cs="Arial"/>
          <w:b/>
          <w:sz w:val="24"/>
          <w:szCs w:val="24"/>
          <w:u w:val="single"/>
        </w:rPr>
        <w:lastRenderedPageBreak/>
        <w:t>Le « </w:t>
      </w:r>
      <w:proofErr w:type="spellStart"/>
      <w:r w:rsidR="00A01000" w:rsidRPr="00A01000">
        <w:rPr>
          <w:rFonts w:ascii="Arial" w:hAnsi="Arial" w:cs="Arial"/>
          <w:b/>
          <w:i/>
          <w:sz w:val="24"/>
          <w:szCs w:val="24"/>
          <w:u w:val="single"/>
        </w:rPr>
        <w:t>big</w:t>
      </w:r>
      <w:proofErr w:type="spellEnd"/>
      <w:r w:rsidR="00A01000" w:rsidRPr="00A01000">
        <w:rPr>
          <w:rFonts w:ascii="Arial" w:hAnsi="Arial" w:cs="Arial"/>
          <w:b/>
          <w:i/>
          <w:sz w:val="24"/>
          <w:szCs w:val="24"/>
          <w:u w:val="single"/>
        </w:rPr>
        <w:t xml:space="preserve"> </w:t>
      </w:r>
      <w:proofErr w:type="spellStart"/>
      <w:r w:rsidR="00A01000" w:rsidRPr="00A01000">
        <w:rPr>
          <w:rFonts w:ascii="Arial" w:hAnsi="Arial" w:cs="Arial"/>
          <w:b/>
          <w:i/>
          <w:sz w:val="24"/>
          <w:szCs w:val="24"/>
          <w:u w:val="single"/>
        </w:rPr>
        <w:t>picture</w:t>
      </w:r>
      <w:proofErr w:type="spellEnd"/>
      <w:r>
        <w:rPr>
          <w:rFonts w:ascii="Arial" w:hAnsi="Arial" w:cs="Arial"/>
          <w:b/>
          <w:sz w:val="24"/>
          <w:szCs w:val="24"/>
          <w:u w:val="single"/>
        </w:rPr>
        <w:t> » à l’échelle internationale et européenne</w:t>
      </w:r>
    </w:p>
    <w:p w:rsidR="002872C6" w:rsidRDefault="002872C6" w:rsidP="00BE54ED">
      <w:pPr>
        <w:spacing w:after="0" w:line="259" w:lineRule="auto"/>
        <w:jc w:val="both"/>
        <w:rPr>
          <w:rFonts w:ascii="Arial" w:hAnsi="Arial" w:cs="Arial"/>
          <w:b/>
          <w:lang w:val="fr-FR"/>
        </w:rPr>
      </w:pPr>
    </w:p>
    <w:p w:rsidR="00C4475D" w:rsidRDefault="0029277E" w:rsidP="00BE54ED">
      <w:pPr>
        <w:spacing w:after="0" w:line="259" w:lineRule="auto"/>
        <w:jc w:val="both"/>
        <w:rPr>
          <w:rFonts w:ascii="Arial" w:hAnsi="Arial" w:cs="Arial"/>
          <w:lang w:val="fr-FR"/>
        </w:rPr>
      </w:pPr>
      <w:r w:rsidRPr="00490F38">
        <w:rPr>
          <w:rFonts w:ascii="Arial" w:hAnsi="Arial" w:cs="Arial"/>
          <w:b/>
          <w:lang w:val="fr-FR"/>
        </w:rPr>
        <w:t>Niveau international :</w:t>
      </w:r>
      <w:r w:rsidRPr="00490F38">
        <w:rPr>
          <w:rFonts w:ascii="Arial" w:hAnsi="Arial" w:cs="Arial"/>
          <w:lang w:val="fr-FR"/>
        </w:rPr>
        <w:t xml:space="preserve"> </w:t>
      </w:r>
      <w:r w:rsidR="00490F38" w:rsidRPr="00490F38">
        <w:rPr>
          <w:rFonts w:ascii="Arial" w:hAnsi="Arial" w:cs="Arial"/>
          <w:lang w:val="fr-FR"/>
        </w:rPr>
        <w:t>La compétitivité économi</w:t>
      </w:r>
      <w:r w:rsidR="00490F38">
        <w:rPr>
          <w:rFonts w:ascii="Arial" w:hAnsi="Arial" w:cs="Arial"/>
          <w:lang w:val="fr-FR"/>
        </w:rPr>
        <w:t>que internationale</w:t>
      </w:r>
      <w:r w:rsidR="00C41EEB">
        <w:rPr>
          <w:rFonts w:ascii="Arial" w:hAnsi="Arial" w:cs="Arial"/>
          <w:lang w:val="fr-FR"/>
        </w:rPr>
        <w:t>, mesuré par le classement du WEF,</w:t>
      </w:r>
      <w:r w:rsidR="00490F38">
        <w:rPr>
          <w:rFonts w:ascii="Arial" w:hAnsi="Arial" w:cs="Arial"/>
          <w:lang w:val="fr-FR"/>
        </w:rPr>
        <w:t xml:space="preserve"> est </w:t>
      </w:r>
      <w:r w:rsidR="00C41EEB">
        <w:rPr>
          <w:rFonts w:ascii="Arial" w:hAnsi="Arial" w:cs="Arial"/>
          <w:lang w:val="fr-FR"/>
        </w:rPr>
        <w:t>singulièrement</w:t>
      </w:r>
      <w:r w:rsidR="00490F38">
        <w:rPr>
          <w:rFonts w:ascii="Arial" w:hAnsi="Arial" w:cs="Arial"/>
          <w:lang w:val="fr-FR"/>
        </w:rPr>
        <w:t xml:space="preserve"> marquée par la fin du grand écart </w:t>
      </w:r>
      <w:r w:rsidR="00F8709C">
        <w:rPr>
          <w:rFonts w:ascii="Arial" w:hAnsi="Arial" w:cs="Arial"/>
          <w:lang w:val="fr-FR"/>
        </w:rPr>
        <w:t xml:space="preserve">compétitif </w:t>
      </w:r>
      <w:r w:rsidR="00490F38">
        <w:rPr>
          <w:rFonts w:ascii="Arial" w:hAnsi="Arial" w:cs="Arial"/>
          <w:lang w:val="fr-FR"/>
        </w:rPr>
        <w:t>entre les pays émergents et développés</w:t>
      </w:r>
      <w:r w:rsidR="008B7AEB">
        <w:rPr>
          <w:rFonts w:ascii="Arial" w:hAnsi="Arial" w:cs="Arial"/>
          <w:lang w:val="fr-FR"/>
        </w:rPr>
        <w:t xml:space="preserve"> qui a longtemps caractérisé l’économie mondiale</w:t>
      </w:r>
      <w:r w:rsidR="00490F38">
        <w:rPr>
          <w:rFonts w:ascii="Arial" w:hAnsi="Arial" w:cs="Arial"/>
          <w:lang w:val="fr-FR"/>
        </w:rPr>
        <w:t>.</w:t>
      </w:r>
      <w:r w:rsidR="00C40E7E">
        <w:rPr>
          <w:rFonts w:ascii="Arial" w:hAnsi="Arial" w:cs="Arial"/>
          <w:lang w:val="fr-FR"/>
        </w:rPr>
        <w:t xml:space="preserve"> </w:t>
      </w:r>
      <w:r w:rsidR="00C40E7E" w:rsidRPr="00316F99">
        <w:rPr>
          <w:rFonts w:ascii="Arial" w:hAnsi="Arial" w:cs="Arial"/>
          <w:lang w:val="fr-FR"/>
        </w:rPr>
        <w:t xml:space="preserve">Croissance </w:t>
      </w:r>
      <w:r w:rsidR="00316F99" w:rsidRPr="00316F99">
        <w:rPr>
          <w:rFonts w:ascii="Arial" w:hAnsi="Arial" w:cs="Arial"/>
          <w:lang w:val="fr-FR"/>
        </w:rPr>
        <w:t xml:space="preserve">économique </w:t>
      </w:r>
      <w:r w:rsidR="00C40E7E" w:rsidRPr="00316F99">
        <w:rPr>
          <w:rFonts w:ascii="Arial" w:hAnsi="Arial" w:cs="Arial"/>
          <w:lang w:val="fr-FR"/>
        </w:rPr>
        <w:t xml:space="preserve">spectaculaire </w:t>
      </w:r>
      <w:r w:rsidR="00316F99" w:rsidRPr="00316F99">
        <w:rPr>
          <w:rFonts w:ascii="Arial" w:hAnsi="Arial" w:cs="Arial"/>
          <w:lang w:val="fr-FR"/>
        </w:rPr>
        <w:t xml:space="preserve">de </w:t>
      </w:r>
      <w:r w:rsidR="00316F99" w:rsidRPr="00077ACC">
        <w:rPr>
          <w:rFonts w:ascii="Arial" w:hAnsi="Arial" w:cs="Arial"/>
          <w:lang w:val="fr-FR"/>
        </w:rPr>
        <w:t>l'Afrique subsaharienne, efforts considérables</w:t>
      </w:r>
      <w:r w:rsidR="00C4475D">
        <w:rPr>
          <w:rFonts w:ascii="Arial" w:hAnsi="Arial" w:cs="Arial"/>
          <w:lang w:val="fr-FR"/>
        </w:rPr>
        <w:t xml:space="preserve"> déployés</w:t>
      </w:r>
      <w:r w:rsidR="00316F99" w:rsidRPr="00077ACC">
        <w:rPr>
          <w:rFonts w:ascii="Arial" w:hAnsi="Arial" w:cs="Arial"/>
          <w:lang w:val="fr-FR"/>
        </w:rPr>
        <w:t xml:space="preserve"> aux Philippines, </w:t>
      </w:r>
      <w:r w:rsidR="00CF0554" w:rsidRPr="00077ACC">
        <w:rPr>
          <w:rFonts w:ascii="Arial" w:hAnsi="Arial" w:cs="Arial"/>
          <w:lang w:val="fr-FR"/>
        </w:rPr>
        <w:t>temps difficiles pour</w:t>
      </w:r>
      <w:r w:rsidR="0029498E">
        <w:rPr>
          <w:rFonts w:ascii="Arial" w:hAnsi="Arial" w:cs="Arial"/>
          <w:lang w:val="fr-FR"/>
        </w:rPr>
        <w:t xml:space="preserve"> certains pays européens</w:t>
      </w:r>
      <w:r w:rsidR="00F8709C">
        <w:rPr>
          <w:rFonts w:ascii="Arial" w:hAnsi="Arial" w:cs="Arial"/>
          <w:lang w:val="fr-FR"/>
        </w:rPr>
        <w:t xml:space="preserve"> </w:t>
      </w:r>
      <w:r w:rsidR="00C4475D">
        <w:rPr>
          <w:rFonts w:ascii="Arial" w:hAnsi="Arial" w:cs="Arial"/>
          <w:lang w:val="fr-FR"/>
        </w:rPr>
        <w:t>-</w:t>
      </w:r>
      <w:r w:rsidR="00CF0554" w:rsidRPr="00077ACC">
        <w:rPr>
          <w:rFonts w:ascii="Arial" w:hAnsi="Arial" w:cs="Arial"/>
          <w:lang w:val="fr-FR"/>
        </w:rPr>
        <w:t xml:space="preserve"> le </w:t>
      </w:r>
      <w:r w:rsidR="00C4475D">
        <w:rPr>
          <w:rFonts w:ascii="Arial" w:hAnsi="Arial" w:cs="Arial"/>
          <w:lang w:val="fr-FR"/>
        </w:rPr>
        <w:t>« </w:t>
      </w:r>
      <w:r w:rsidR="00CF0554" w:rsidRPr="00077ACC">
        <w:rPr>
          <w:rFonts w:ascii="Arial" w:hAnsi="Arial" w:cs="Arial"/>
          <w:lang w:val="fr-FR"/>
        </w:rPr>
        <w:t>noir</w:t>
      </w:r>
      <w:r w:rsidR="00C41EEB">
        <w:rPr>
          <w:rFonts w:ascii="Arial" w:hAnsi="Arial" w:cs="Arial"/>
          <w:lang w:val="fr-FR"/>
        </w:rPr>
        <w:t xml:space="preserve"> &amp;</w:t>
      </w:r>
      <w:r w:rsidR="00C4475D">
        <w:rPr>
          <w:rFonts w:ascii="Arial" w:hAnsi="Arial" w:cs="Arial"/>
          <w:lang w:val="fr-FR"/>
        </w:rPr>
        <w:t xml:space="preserve"> </w:t>
      </w:r>
      <w:r w:rsidR="00CF0554" w:rsidRPr="00077ACC">
        <w:rPr>
          <w:rFonts w:ascii="Arial" w:hAnsi="Arial" w:cs="Arial"/>
          <w:lang w:val="fr-FR"/>
        </w:rPr>
        <w:t>blanc</w:t>
      </w:r>
      <w:r w:rsidR="00C4475D">
        <w:rPr>
          <w:rFonts w:ascii="Arial" w:hAnsi="Arial" w:cs="Arial"/>
          <w:lang w:val="fr-FR"/>
        </w:rPr>
        <w:t> » traditionnel</w:t>
      </w:r>
      <w:r w:rsidR="004A145E">
        <w:rPr>
          <w:rFonts w:ascii="Arial" w:hAnsi="Arial" w:cs="Arial"/>
          <w:lang w:val="fr-FR"/>
        </w:rPr>
        <w:t xml:space="preserve"> appartient largement au passé</w:t>
      </w:r>
      <w:r w:rsidR="00793D3E">
        <w:rPr>
          <w:rFonts w:ascii="Arial" w:hAnsi="Arial" w:cs="Arial"/>
          <w:lang w:val="fr-FR"/>
        </w:rPr>
        <w:t>.</w:t>
      </w:r>
    </w:p>
    <w:p w:rsidR="002872C6" w:rsidRDefault="002872C6" w:rsidP="00BE54ED">
      <w:pPr>
        <w:spacing w:after="0" w:line="259" w:lineRule="auto"/>
        <w:jc w:val="both"/>
        <w:rPr>
          <w:rFonts w:ascii="Arial" w:eastAsia="Times New Roman" w:hAnsi="Arial" w:cs="Arial"/>
          <w:lang w:val="fr-FR" w:eastAsia="fr-LU"/>
        </w:rPr>
      </w:pPr>
    </w:p>
    <w:p w:rsidR="00C41EEB" w:rsidRDefault="004E4918" w:rsidP="00BE54ED">
      <w:pPr>
        <w:spacing w:after="0" w:line="259" w:lineRule="auto"/>
        <w:jc w:val="both"/>
        <w:rPr>
          <w:rFonts w:ascii="Arial" w:eastAsia="Times New Roman" w:hAnsi="Arial" w:cs="Arial"/>
          <w:lang w:eastAsia="fr-LU"/>
        </w:rPr>
      </w:pPr>
      <w:r>
        <w:rPr>
          <w:rFonts w:ascii="Arial" w:eastAsia="Times New Roman" w:hAnsi="Arial" w:cs="Arial"/>
          <w:lang w:val="fr-FR" w:eastAsia="fr-LU"/>
        </w:rPr>
        <w:t>Quelle stratégie faut-il donc adapter pour remporter la médaille</w:t>
      </w:r>
      <w:r w:rsidR="00C4475D">
        <w:rPr>
          <w:rFonts w:ascii="Arial" w:eastAsia="Times New Roman" w:hAnsi="Arial" w:cs="Arial"/>
          <w:lang w:val="fr-FR" w:eastAsia="fr-LU"/>
        </w:rPr>
        <w:t xml:space="preserve"> de la compétitivité</w:t>
      </w:r>
      <w:r>
        <w:rPr>
          <w:rFonts w:ascii="Arial" w:eastAsia="Times New Roman" w:hAnsi="Arial" w:cs="Arial"/>
          <w:lang w:val="fr-FR" w:eastAsia="fr-LU"/>
        </w:rPr>
        <w:t xml:space="preserve"> ? </w:t>
      </w:r>
      <w:r w:rsidR="007628F1">
        <w:rPr>
          <w:rFonts w:ascii="Arial" w:eastAsia="Times New Roman" w:hAnsi="Arial" w:cs="Arial"/>
          <w:lang w:val="fr-FR" w:eastAsia="fr-LU"/>
        </w:rPr>
        <w:t>L’élément commun des</w:t>
      </w:r>
      <w:r w:rsidR="003B1208">
        <w:rPr>
          <w:rFonts w:ascii="Arial" w:eastAsia="Times New Roman" w:hAnsi="Arial" w:cs="Arial"/>
          <w:lang w:val="fr-FR" w:eastAsia="fr-LU"/>
        </w:rPr>
        <w:t xml:space="preserve"> </w:t>
      </w:r>
      <w:r>
        <w:rPr>
          <w:rFonts w:ascii="Arial" w:eastAsia="Times New Roman" w:hAnsi="Arial" w:cs="Arial"/>
          <w:lang w:val="fr-FR" w:eastAsia="fr-LU"/>
        </w:rPr>
        <w:t>champions du classement GCR 2014</w:t>
      </w:r>
      <w:r w:rsidR="006563CB">
        <w:rPr>
          <w:rFonts w:ascii="Arial" w:eastAsia="Times New Roman" w:hAnsi="Arial" w:cs="Arial"/>
          <w:lang w:val="fr-FR" w:eastAsia="fr-LU"/>
        </w:rPr>
        <w:t xml:space="preserve"> est leur capacité prouvée à </w:t>
      </w:r>
      <w:r w:rsidR="007514D7">
        <w:rPr>
          <w:rFonts w:ascii="Arial" w:eastAsia="Times New Roman" w:hAnsi="Arial" w:cs="Arial"/>
          <w:lang w:val="fr-FR" w:eastAsia="fr-LU"/>
        </w:rPr>
        <w:t xml:space="preserve">mettre en œuvre et </w:t>
      </w:r>
      <w:r w:rsidR="00E979E1">
        <w:rPr>
          <w:rFonts w:ascii="Arial" w:eastAsia="Times New Roman" w:hAnsi="Arial" w:cs="Arial"/>
          <w:lang w:val="fr-FR" w:eastAsia="fr-LU"/>
        </w:rPr>
        <w:t>développer</w:t>
      </w:r>
      <w:r w:rsidR="007514D7">
        <w:rPr>
          <w:rFonts w:ascii="Arial" w:eastAsia="Times New Roman" w:hAnsi="Arial" w:cs="Arial"/>
          <w:lang w:val="fr-FR" w:eastAsia="fr-LU"/>
        </w:rPr>
        <w:t xml:space="preserve"> les talents </w:t>
      </w:r>
      <w:r w:rsidR="00A97EBD">
        <w:rPr>
          <w:rFonts w:ascii="Arial" w:eastAsia="Times New Roman" w:hAnsi="Arial" w:cs="Arial"/>
          <w:lang w:val="fr-FR" w:eastAsia="fr-LU"/>
        </w:rPr>
        <w:t xml:space="preserve">qui sont à leur </w:t>
      </w:r>
      <w:r w:rsidR="00C41EEB">
        <w:rPr>
          <w:rFonts w:ascii="Arial" w:eastAsia="Times New Roman" w:hAnsi="Arial" w:cs="Arial"/>
          <w:lang w:val="fr-FR" w:eastAsia="fr-LU"/>
        </w:rPr>
        <w:t>disposition</w:t>
      </w:r>
      <w:r w:rsidR="00E979E1">
        <w:rPr>
          <w:rFonts w:ascii="Arial" w:eastAsia="Times New Roman" w:hAnsi="Arial" w:cs="Arial"/>
          <w:lang w:val="fr-FR" w:eastAsia="fr-LU"/>
        </w:rPr>
        <w:t xml:space="preserve"> et à réaliser des investissements stratégiques promouvant l’innovation.</w:t>
      </w:r>
      <w:r w:rsidR="00D05979">
        <w:rPr>
          <w:rFonts w:ascii="Arial" w:eastAsia="Times New Roman" w:hAnsi="Arial" w:cs="Arial"/>
          <w:lang w:val="fr-FR" w:eastAsia="fr-LU"/>
        </w:rPr>
        <w:t xml:space="preserve"> Les Etats-Unis ont par exemple réussi</w:t>
      </w:r>
      <w:r w:rsidR="00144397">
        <w:rPr>
          <w:rFonts w:ascii="Arial" w:eastAsia="Times New Roman" w:hAnsi="Arial" w:cs="Arial"/>
          <w:lang w:val="fr-FR" w:eastAsia="fr-LU"/>
        </w:rPr>
        <w:t xml:space="preserve">, par l’amélioration de </w:t>
      </w:r>
      <w:r w:rsidR="00F8709C">
        <w:rPr>
          <w:rFonts w:ascii="Arial" w:eastAsia="Times New Roman" w:hAnsi="Arial" w:cs="Arial"/>
          <w:lang w:val="fr-FR" w:eastAsia="fr-LU"/>
        </w:rPr>
        <w:t>leur</w:t>
      </w:r>
      <w:r w:rsidR="00144397">
        <w:rPr>
          <w:rFonts w:ascii="Arial" w:eastAsia="Times New Roman" w:hAnsi="Arial" w:cs="Arial"/>
          <w:lang w:val="fr-FR" w:eastAsia="fr-LU"/>
        </w:rPr>
        <w:t xml:space="preserve"> performance </w:t>
      </w:r>
      <w:r w:rsidR="00F8709C">
        <w:rPr>
          <w:rFonts w:ascii="Arial" w:eastAsia="Times New Roman" w:hAnsi="Arial" w:cs="Arial"/>
          <w:lang w:val="fr-FR" w:eastAsia="fr-LU"/>
        </w:rPr>
        <w:t xml:space="preserve">en matière </w:t>
      </w:r>
      <w:r w:rsidR="00144397">
        <w:rPr>
          <w:rFonts w:ascii="Arial" w:eastAsia="Times New Roman" w:hAnsi="Arial" w:cs="Arial"/>
          <w:lang w:val="fr-FR" w:eastAsia="fr-LU"/>
        </w:rPr>
        <w:t>d’innovation,</w:t>
      </w:r>
      <w:r w:rsidR="00D05979">
        <w:rPr>
          <w:rFonts w:ascii="Arial" w:eastAsia="Times New Roman" w:hAnsi="Arial" w:cs="Arial"/>
          <w:lang w:val="fr-FR" w:eastAsia="fr-LU"/>
        </w:rPr>
        <w:t xml:space="preserve"> à figurer de nouveau </w:t>
      </w:r>
      <w:r w:rsidR="00D05979">
        <w:rPr>
          <w:rFonts w:ascii="Arial" w:eastAsia="Times New Roman" w:hAnsi="Arial" w:cs="Arial"/>
          <w:lang w:eastAsia="fr-LU"/>
        </w:rPr>
        <w:t>parmi les trois</w:t>
      </w:r>
      <w:r w:rsidR="00C41EEB">
        <w:rPr>
          <w:rFonts w:ascii="Arial" w:eastAsia="Times New Roman" w:hAnsi="Arial" w:cs="Arial"/>
          <w:lang w:eastAsia="fr-LU"/>
        </w:rPr>
        <w:t xml:space="preserve"> pays les</w:t>
      </w:r>
      <w:r w:rsidR="00D05979">
        <w:rPr>
          <w:rFonts w:ascii="Arial" w:eastAsia="Times New Roman" w:hAnsi="Arial" w:cs="Arial"/>
          <w:lang w:eastAsia="fr-LU"/>
        </w:rPr>
        <w:t xml:space="preserve"> mieux classés</w:t>
      </w:r>
      <w:r w:rsidR="00C41EEB">
        <w:rPr>
          <w:rFonts w:ascii="Arial" w:eastAsia="Times New Roman" w:hAnsi="Arial" w:cs="Arial"/>
          <w:lang w:eastAsia="fr-LU"/>
        </w:rPr>
        <w:t>, après déjà avoir enregistré une</w:t>
      </w:r>
      <w:r w:rsidR="00C4475D">
        <w:rPr>
          <w:rFonts w:ascii="Arial" w:eastAsia="Times New Roman" w:hAnsi="Arial" w:cs="Arial"/>
          <w:lang w:eastAsia="fr-LU"/>
        </w:rPr>
        <w:t xml:space="preserve"> </w:t>
      </w:r>
      <w:r w:rsidR="00144397">
        <w:rPr>
          <w:rFonts w:ascii="Arial" w:eastAsia="Times New Roman" w:hAnsi="Arial" w:cs="Arial"/>
          <w:lang w:eastAsia="fr-LU"/>
        </w:rPr>
        <w:t>2</w:t>
      </w:r>
      <w:r w:rsidR="00144397" w:rsidRPr="00144397">
        <w:rPr>
          <w:rFonts w:ascii="Arial" w:eastAsia="Times New Roman" w:hAnsi="Arial" w:cs="Arial"/>
          <w:vertAlign w:val="superscript"/>
          <w:lang w:eastAsia="fr-LU"/>
        </w:rPr>
        <w:t>e</w:t>
      </w:r>
      <w:r w:rsidR="00144397">
        <w:rPr>
          <w:rFonts w:ascii="Arial" w:eastAsia="Times New Roman" w:hAnsi="Arial" w:cs="Arial"/>
          <w:lang w:eastAsia="fr-LU"/>
        </w:rPr>
        <w:t xml:space="preserve"> place en</w:t>
      </w:r>
      <w:r w:rsidR="00D05979">
        <w:rPr>
          <w:rFonts w:ascii="Arial" w:eastAsia="Times New Roman" w:hAnsi="Arial" w:cs="Arial"/>
          <w:lang w:eastAsia="fr-LU"/>
        </w:rPr>
        <w:t xml:space="preserve"> 2009 </w:t>
      </w:r>
      <w:r w:rsidR="00144397">
        <w:rPr>
          <w:rFonts w:ascii="Arial" w:eastAsia="Times New Roman" w:hAnsi="Arial" w:cs="Arial"/>
          <w:lang w:eastAsia="fr-LU"/>
        </w:rPr>
        <w:t>et</w:t>
      </w:r>
      <w:r w:rsidR="00D05979">
        <w:rPr>
          <w:rFonts w:ascii="Arial" w:eastAsia="Times New Roman" w:hAnsi="Arial" w:cs="Arial"/>
          <w:lang w:eastAsia="fr-LU"/>
        </w:rPr>
        <w:t xml:space="preserve"> </w:t>
      </w:r>
      <w:r w:rsidR="00C41EEB">
        <w:rPr>
          <w:rFonts w:ascii="Arial" w:eastAsia="Times New Roman" w:hAnsi="Arial" w:cs="Arial"/>
          <w:lang w:eastAsia="fr-LU"/>
        </w:rPr>
        <w:t>même une</w:t>
      </w:r>
      <w:r w:rsidR="00D05979">
        <w:rPr>
          <w:rFonts w:ascii="Arial" w:eastAsia="Times New Roman" w:hAnsi="Arial" w:cs="Arial"/>
          <w:lang w:eastAsia="fr-LU"/>
        </w:rPr>
        <w:t xml:space="preserve"> 1</w:t>
      </w:r>
      <w:r w:rsidR="00D05979" w:rsidRPr="00153C4E">
        <w:rPr>
          <w:rFonts w:ascii="Arial" w:eastAsia="Times New Roman" w:hAnsi="Arial" w:cs="Arial"/>
          <w:vertAlign w:val="superscript"/>
          <w:lang w:eastAsia="fr-LU"/>
        </w:rPr>
        <w:t>e</w:t>
      </w:r>
      <w:r w:rsidR="00D05979">
        <w:rPr>
          <w:rFonts w:ascii="Arial" w:eastAsia="Times New Roman" w:hAnsi="Arial" w:cs="Arial"/>
          <w:lang w:eastAsia="fr-LU"/>
        </w:rPr>
        <w:t xml:space="preserve"> </w:t>
      </w:r>
      <w:r w:rsidR="00286639">
        <w:rPr>
          <w:rFonts w:ascii="Arial" w:eastAsia="Times New Roman" w:hAnsi="Arial" w:cs="Arial"/>
          <w:lang w:eastAsia="fr-LU"/>
        </w:rPr>
        <w:t xml:space="preserve">place </w:t>
      </w:r>
      <w:r w:rsidR="00144397">
        <w:rPr>
          <w:rFonts w:ascii="Arial" w:eastAsia="Times New Roman" w:hAnsi="Arial" w:cs="Arial"/>
          <w:lang w:eastAsia="fr-LU"/>
        </w:rPr>
        <w:t>en 2008.</w:t>
      </w:r>
      <w:r w:rsidR="00E220A8" w:rsidRPr="00E220A8">
        <w:rPr>
          <w:rFonts w:ascii="Arial" w:eastAsia="Times New Roman" w:hAnsi="Arial" w:cs="Arial"/>
          <w:lang w:eastAsia="fr-LU"/>
        </w:rPr>
        <w:t xml:space="preserve"> </w:t>
      </w:r>
    </w:p>
    <w:p w:rsidR="002872C6" w:rsidRDefault="002872C6" w:rsidP="00BE54ED">
      <w:pPr>
        <w:spacing w:after="0" w:line="259" w:lineRule="auto"/>
        <w:jc w:val="both"/>
        <w:rPr>
          <w:rFonts w:ascii="Arial" w:eastAsia="Times New Roman" w:hAnsi="Arial" w:cs="Arial"/>
          <w:lang w:eastAsia="fr-LU"/>
        </w:rPr>
      </w:pPr>
    </w:p>
    <w:p w:rsidR="00E220A8" w:rsidRDefault="00E220A8" w:rsidP="00BE54ED">
      <w:pPr>
        <w:spacing w:after="0" w:line="259" w:lineRule="auto"/>
        <w:jc w:val="both"/>
        <w:rPr>
          <w:rFonts w:ascii="Arial" w:eastAsia="Times New Roman" w:hAnsi="Arial" w:cs="Arial"/>
          <w:lang w:eastAsia="fr-LU"/>
        </w:rPr>
      </w:pPr>
      <w:r>
        <w:rPr>
          <w:rFonts w:ascii="Arial" w:eastAsia="Times New Roman" w:hAnsi="Arial" w:cs="Arial"/>
          <w:lang w:eastAsia="fr-LU"/>
        </w:rPr>
        <w:t>Le Top 3 de cette édition varie</w:t>
      </w:r>
      <w:r w:rsidR="002A258E">
        <w:rPr>
          <w:rFonts w:ascii="Arial" w:eastAsia="Times New Roman" w:hAnsi="Arial" w:cs="Arial"/>
          <w:lang w:eastAsia="fr-LU"/>
        </w:rPr>
        <w:t xml:space="preserve"> cependant</w:t>
      </w:r>
      <w:r>
        <w:rPr>
          <w:rFonts w:ascii="Arial" w:eastAsia="Times New Roman" w:hAnsi="Arial" w:cs="Arial"/>
          <w:lang w:eastAsia="fr-LU"/>
        </w:rPr>
        <w:t xml:space="preserve"> quelque peu par rapport à sa constellation trad</w:t>
      </w:r>
      <w:r w:rsidR="00F8709C">
        <w:rPr>
          <w:rFonts w:ascii="Arial" w:eastAsia="Times New Roman" w:hAnsi="Arial" w:cs="Arial"/>
          <w:lang w:eastAsia="fr-LU"/>
        </w:rPr>
        <w:t xml:space="preserve">itionnelle des dernières années, la Finlande n’en faisant plus partie. </w:t>
      </w:r>
      <w:r w:rsidR="002A258E">
        <w:rPr>
          <w:rFonts w:ascii="Arial" w:eastAsia="Times New Roman" w:hAnsi="Arial" w:cs="Arial"/>
          <w:lang w:eastAsia="fr-LU"/>
        </w:rPr>
        <w:t>Par ailleurs</w:t>
      </w:r>
      <w:r w:rsidR="00F8709C">
        <w:rPr>
          <w:rFonts w:ascii="Arial" w:eastAsia="Times New Roman" w:hAnsi="Arial" w:cs="Arial"/>
          <w:lang w:eastAsia="fr-LU"/>
        </w:rPr>
        <w:t>,</w:t>
      </w:r>
      <w:r>
        <w:rPr>
          <w:rFonts w:ascii="Arial" w:eastAsia="Times New Roman" w:hAnsi="Arial" w:cs="Arial"/>
          <w:lang w:eastAsia="fr-LU"/>
        </w:rPr>
        <w:t xml:space="preserve"> </w:t>
      </w:r>
      <w:r w:rsidRPr="001E04B2">
        <w:rPr>
          <w:rFonts w:ascii="Arial" w:eastAsia="Times New Roman" w:hAnsi="Arial" w:cs="Arial"/>
          <w:lang w:eastAsia="fr-LU"/>
        </w:rPr>
        <w:t>la Suisse et l</w:t>
      </w:r>
      <w:r>
        <w:rPr>
          <w:rFonts w:ascii="Arial" w:eastAsia="Times New Roman" w:hAnsi="Arial" w:cs="Arial"/>
          <w:lang w:eastAsia="fr-LU"/>
        </w:rPr>
        <w:t xml:space="preserve">e Singapour </w:t>
      </w:r>
      <w:r w:rsidR="004A145E">
        <w:rPr>
          <w:rFonts w:ascii="Arial" w:eastAsia="Times New Roman" w:hAnsi="Arial" w:cs="Arial"/>
          <w:lang w:eastAsia="fr-LU"/>
        </w:rPr>
        <w:t>continuent</w:t>
      </w:r>
      <w:r>
        <w:rPr>
          <w:rFonts w:ascii="Arial" w:eastAsia="Times New Roman" w:hAnsi="Arial" w:cs="Arial"/>
          <w:lang w:eastAsia="fr-LU"/>
        </w:rPr>
        <w:t xml:space="preserve"> à dominer</w:t>
      </w:r>
      <w:r w:rsidRPr="001E04B2">
        <w:rPr>
          <w:rFonts w:ascii="Arial" w:eastAsia="Times New Roman" w:hAnsi="Arial" w:cs="Arial"/>
          <w:lang w:eastAsia="fr-LU"/>
        </w:rPr>
        <w:t xml:space="preserve"> le classement</w:t>
      </w:r>
      <w:r>
        <w:rPr>
          <w:rFonts w:ascii="Arial" w:eastAsia="Times New Roman" w:hAnsi="Arial" w:cs="Arial"/>
          <w:lang w:eastAsia="fr-LU"/>
        </w:rPr>
        <w:t>.</w:t>
      </w:r>
    </w:p>
    <w:p w:rsidR="002872C6" w:rsidRDefault="002872C6" w:rsidP="00BE54ED">
      <w:pPr>
        <w:spacing w:after="0" w:line="259" w:lineRule="auto"/>
        <w:jc w:val="both"/>
        <w:rPr>
          <w:rFonts w:ascii="Arial" w:eastAsia="Times New Roman" w:hAnsi="Arial" w:cs="Arial"/>
          <w:lang w:eastAsia="fr-LU"/>
        </w:rPr>
      </w:pPr>
    </w:p>
    <w:p w:rsidR="001A6E75" w:rsidRDefault="0029277E" w:rsidP="00BE54ED">
      <w:pPr>
        <w:spacing w:after="0" w:line="259" w:lineRule="auto"/>
        <w:jc w:val="both"/>
        <w:rPr>
          <w:rFonts w:ascii="Arial" w:hAnsi="Arial" w:cs="Arial"/>
        </w:rPr>
      </w:pPr>
      <w:r w:rsidRPr="00872C1B">
        <w:rPr>
          <w:rFonts w:ascii="Arial" w:hAnsi="Arial" w:cs="Arial"/>
          <w:b/>
        </w:rPr>
        <w:t>Niveau européen :</w:t>
      </w:r>
      <w:r>
        <w:rPr>
          <w:rFonts w:ascii="Arial" w:hAnsi="Arial" w:cs="Arial"/>
        </w:rPr>
        <w:t xml:space="preserve"> </w:t>
      </w:r>
      <w:r w:rsidR="001B6A98">
        <w:rPr>
          <w:rFonts w:ascii="Arial" w:hAnsi="Arial" w:cs="Arial"/>
        </w:rPr>
        <w:t>6</w:t>
      </w:r>
      <w:r>
        <w:rPr>
          <w:rFonts w:ascii="Arial" w:hAnsi="Arial" w:cs="Arial"/>
        </w:rPr>
        <w:t xml:space="preserve"> pays </w:t>
      </w:r>
      <w:r w:rsidR="001B6A98">
        <w:rPr>
          <w:rFonts w:ascii="Arial" w:hAnsi="Arial" w:cs="Arial"/>
        </w:rPr>
        <w:t>européens</w:t>
      </w:r>
      <w:r w:rsidR="00707DBF">
        <w:rPr>
          <w:rFonts w:ascii="Arial" w:hAnsi="Arial" w:cs="Arial"/>
        </w:rPr>
        <w:t xml:space="preserve">, dont </w:t>
      </w:r>
      <w:r w:rsidR="000F5663">
        <w:rPr>
          <w:rFonts w:ascii="Arial" w:hAnsi="Arial" w:cs="Arial"/>
        </w:rPr>
        <w:t>3</w:t>
      </w:r>
      <w:r w:rsidR="00707DBF">
        <w:rPr>
          <w:rFonts w:ascii="Arial" w:hAnsi="Arial" w:cs="Arial"/>
        </w:rPr>
        <w:t xml:space="preserve"> de la zone euro,</w:t>
      </w:r>
      <w:r>
        <w:rPr>
          <w:rFonts w:ascii="Arial" w:hAnsi="Arial" w:cs="Arial"/>
        </w:rPr>
        <w:t xml:space="preserve"> ont réussi à</w:t>
      </w:r>
      <w:r w:rsidR="004A145E">
        <w:rPr>
          <w:rFonts w:ascii="Arial" w:hAnsi="Arial" w:cs="Arial"/>
        </w:rPr>
        <w:t xml:space="preserve"> se hisser </w:t>
      </w:r>
      <w:r w:rsidR="00602BEB">
        <w:rPr>
          <w:rFonts w:ascii="Arial" w:hAnsi="Arial" w:cs="Arial"/>
        </w:rPr>
        <w:t>dans le</w:t>
      </w:r>
      <w:r>
        <w:rPr>
          <w:rFonts w:ascii="Arial" w:hAnsi="Arial" w:cs="Arial"/>
        </w:rPr>
        <w:t xml:space="preserve"> </w:t>
      </w:r>
      <w:r w:rsidR="000F5663">
        <w:rPr>
          <w:rFonts w:ascii="Arial" w:hAnsi="Arial" w:cs="Arial"/>
        </w:rPr>
        <w:t>t</w:t>
      </w:r>
      <w:r>
        <w:rPr>
          <w:rFonts w:ascii="Arial" w:hAnsi="Arial" w:cs="Arial"/>
        </w:rPr>
        <w:t>op 10 de l’</w:t>
      </w:r>
      <w:r w:rsidRPr="00272BAA">
        <w:rPr>
          <w:rFonts w:ascii="Arial" w:hAnsi="Arial" w:cs="Arial"/>
        </w:rPr>
        <w:t xml:space="preserve">étude comparative proposée par </w:t>
      </w:r>
      <w:r w:rsidR="00731454">
        <w:rPr>
          <w:rFonts w:ascii="Arial" w:hAnsi="Arial" w:cs="Arial"/>
        </w:rPr>
        <w:t>WEF</w:t>
      </w:r>
      <w:r w:rsidR="005714EF">
        <w:rPr>
          <w:rFonts w:ascii="Arial" w:hAnsi="Arial" w:cs="Arial"/>
        </w:rPr>
        <w:t xml:space="preserve"> : la Suisse en </w:t>
      </w:r>
      <w:r w:rsidR="00C41EEB">
        <w:rPr>
          <w:rFonts w:ascii="Arial" w:hAnsi="Arial" w:cs="Arial"/>
        </w:rPr>
        <w:t>1</w:t>
      </w:r>
      <w:r w:rsidR="00C41EEB" w:rsidRPr="00C41EEB">
        <w:rPr>
          <w:rFonts w:ascii="Arial" w:hAnsi="Arial" w:cs="Arial"/>
          <w:vertAlign w:val="superscript"/>
        </w:rPr>
        <w:t>ère</w:t>
      </w:r>
      <w:r w:rsidR="00C41EEB">
        <w:rPr>
          <w:rFonts w:ascii="Arial" w:hAnsi="Arial" w:cs="Arial"/>
        </w:rPr>
        <w:t xml:space="preserve"> </w:t>
      </w:r>
      <w:r w:rsidR="005714EF">
        <w:rPr>
          <w:rFonts w:ascii="Arial" w:hAnsi="Arial" w:cs="Arial"/>
        </w:rPr>
        <w:t>place</w:t>
      </w:r>
      <w:r w:rsidR="0040357D">
        <w:rPr>
          <w:rFonts w:ascii="Arial" w:hAnsi="Arial" w:cs="Arial"/>
        </w:rPr>
        <w:t xml:space="preserve">, </w:t>
      </w:r>
      <w:r w:rsidR="005714EF">
        <w:rPr>
          <w:rFonts w:ascii="Arial" w:hAnsi="Arial" w:cs="Arial"/>
        </w:rPr>
        <w:t>la Finlande en 4</w:t>
      </w:r>
      <w:r w:rsidR="005714EF" w:rsidRPr="005714EF">
        <w:rPr>
          <w:rFonts w:ascii="Arial" w:hAnsi="Arial" w:cs="Arial"/>
          <w:vertAlign w:val="superscript"/>
        </w:rPr>
        <w:t>e</w:t>
      </w:r>
      <w:r w:rsidR="0040357D">
        <w:rPr>
          <w:rFonts w:ascii="Arial" w:hAnsi="Arial" w:cs="Arial"/>
        </w:rPr>
        <w:t xml:space="preserve">, </w:t>
      </w:r>
      <w:r w:rsidR="005714EF">
        <w:rPr>
          <w:rFonts w:ascii="Arial" w:hAnsi="Arial" w:cs="Arial"/>
        </w:rPr>
        <w:t>l’</w:t>
      </w:r>
      <w:r w:rsidR="0040357D">
        <w:rPr>
          <w:rFonts w:ascii="Arial" w:hAnsi="Arial" w:cs="Arial"/>
        </w:rPr>
        <w:t xml:space="preserve">Allemagne </w:t>
      </w:r>
      <w:r w:rsidR="005714EF">
        <w:rPr>
          <w:rFonts w:ascii="Arial" w:hAnsi="Arial" w:cs="Arial"/>
        </w:rPr>
        <w:t xml:space="preserve">en </w:t>
      </w:r>
      <w:r w:rsidR="0040357D">
        <w:rPr>
          <w:rFonts w:ascii="Arial" w:hAnsi="Arial" w:cs="Arial"/>
        </w:rPr>
        <w:t>5</w:t>
      </w:r>
      <w:r w:rsidR="005714EF" w:rsidRPr="005714EF">
        <w:rPr>
          <w:rFonts w:ascii="Arial" w:hAnsi="Arial" w:cs="Arial"/>
          <w:vertAlign w:val="superscript"/>
        </w:rPr>
        <w:t>e</w:t>
      </w:r>
      <w:r w:rsidR="0040357D">
        <w:rPr>
          <w:rFonts w:ascii="Arial" w:hAnsi="Arial" w:cs="Arial"/>
        </w:rPr>
        <w:t xml:space="preserve">, </w:t>
      </w:r>
      <w:r w:rsidR="005714EF">
        <w:rPr>
          <w:rFonts w:ascii="Arial" w:hAnsi="Arial" w:cs="Arial"/>
        </w:rPr>
        <w:t xml:space="preserve">les </w:t>
      </w:r>
      <w:r w:rsidR="0040357D">
        <w:rPr>
          <w:rFonts w:ascii="Arial" w:hAnsi="Arial" w:cs="Arial"/>
        </w:rPr>
        <w:t xml:space="preserve">Pays-Bas </w:t>
      </w:r>
      <w:r w:rsidR="005714EF">
        <w:rPr>
          <w:rFonts w:ascii="Arial" w:hAnsi="Arial" w:cs="Arial"/>
        </w:rPr>
        <w:t xml:space="preserve">en </w:t>
      </w:r>
      <w:r w:rsidR="0040357D">
        <w:rPr>
          <w:rFonts w:ascii="Arial" w:hAnsi="Arial" w:cs="Arial"/>
        </w:rPr>
        <w:t>8</w:t>
      </w:r>
      <w:r w:rsidR="005714EF" w:rsidRPr="005714EF">
        <w:rPr>
          <w:rFonts w:ascii="Arial" w:hAnsi="Arial" w:cs="Arial"/>
          <w:vertAlign w:val="superscript"/>
        </w:rPr>
        <w:t>e</w:t>
      </w:r>
      <w:r w:rsidR="0040357D">
        <w:rPr>
          <w:rFonts w:ascii="Arial" w:hAnsi="Arial" w:cs="Arial"/>
        </w:rPr>
        <w:t xml:space="preserve">, </w:t>
      </w:r>
      <w:r w:rsidR="000A648A">
        <w:rPr>
          <w:rFonts w:ascii="Arial" w:hAnsi="Arial" w:cs="Arial"/>
        </w:rPr>
        <w:t xml:space="preserve">le </w:t>
      </w:r>
      <w:r w:rsidR="0040357D">
        <w:rPr>
          <w:rFonts w:ascii="Arial" w:hAnsi="Arial" w:cs="Arial"/>
        </w:rPr>
        <w:t xml:space="preserve">Royaume-Uni </w:t>
      </w:r>
      <w:r w:rsidR="000A648A">
        <w:rPr>
          <w:rFonts w:ascii="Arial" w:hAnsi="Arial" w:cs="Arial"/>
        </w:rPr>
        <w:t xml:space="preserve">en </w:t>
      </w:r>
      <w:r w:rsidR="0040357D">
        <w:rPr>
          <w:rFonts w:ascii="Arial" w:hAnsi="Arial" w:cs="Arial"/>
        </w:rPr>
        <w:t>9</w:t>
      </w:r>
      <w:r w:rsidR="000A648A" w:rsidRPr="000A648A">
        <w:rPr>
          <w:rFonts w:ascii="Arial" w:hAnsi="Arial" w:cs="Arial"/>
          <w:vertAlign w:val="superscript"/>
        </w:rPr>
        <w:t>e</w:t>
      </w:r>
      <w:r w:rsidR="000A648A">
        <w:rPr>
          <w:rFonts w:ascii="Arial" w:hAnsi="Arial" w:cs="Arial"/>
        </w:rPr>
        <w:t xml:space="preserve"> et la</w:t>
      </w:r>
      <w:r w:rsidR="0040357D">
        <w:rPr>
          <w:rFonts w:ascii="Arial" w:hAnsi="Arial" w:cs="Arial"/>
        </w:rPr>
        <w:t xml:space="preserve"> Suède </w:t>
      </w:r>
      <w:r w:rsidR="000A648A">
        <w:rPr>
          <w:rFonts w:ascii="Arial" w:hAnsi="Arial" w:cs="Arial"/>
        </w:rPr>
        <w:t xml:space="preserve">en </w:t>
      </w:r>
      <w:r w:rsidR="0040357D">
        <w:rPr>
          <w:rFonts w:ascii="Arial" w:hAnsi="Arial" w:cs="Arial"/>
        </w:rPr>
        <w:t>10</w:t>
      </w:r>
      <w:r w:rsidR="000A648A" w:rsidRPr="000A648A">
        <w:rPr>
          <w:rFonts w:ascii="Arial" w:hAnsi="Arial" w:cs="Arial"/>
          <w:vertAlign w:val="superscript"/>
        </w:rPr>
        <w:t>e</w:t>
      </w:r>
      <w:r w:rsidR="000A648A">
        <w:rPr>
          <w:rFonts w:ascii="Arial" w:hAnsi="Arial" w:cs="Arial"/>
        </w:rPr>
        <w:t xml:space="preserve"> place.</w:t>
      </w:r>
      <w:r w:rsidR="005714EF" w:rsidRPr="005714EF">
        <w:rPr>
          <w:rFonts w:ascii="Arial" w:hAnsi="Arial" w:cs="Arial"/>
        </w:rPr>
        <w:t xml:space="preserve"> </w:t>
      </w:r>
      <w:r w:rsidR="005714EF">
        <w:rPr>
          <w:rFonts w:ascii="Arial" w:hAnsi="Arial" w:cs="Arial"/>
        </w:rPr>
        <w:t xml:space="preserve">Cette constellation n’a guère changé au </w:t>
      </w:r>
      <w:r w:rsidR="000A648A">
        <w:rPr>
          <w:rFonts w:ascii="Arial" w:hAnsi="Arial" w:cs="Arial"/>
        </w:rPr>
        <w:t>fil des dernières années.</w:t>
      </w:r>
      <w:r w:rsidR="0088570B">
        <w:rPr>
          <w:rFonts w:ascii="Arial" w:hAnsi="Arial" w:cs="Arial"/>
        </w:rPr>
        <w:t xml:space="preserve"> </w:t>
      </w:r>
    </w:p>
    <w:p w:rsidR="002872C6" w:rsidRDefault="002872C6" w:rsidP="00BE54ED">
      <w:pPr>
        <w:spacing w:after="0" w:line="259" w:lineRule="auto"/>
        <w:jc w:val="both"/>
        <w:rPr>
          <w:rFonts w:ascii="Arial" w:hAnsi="Arial" w:cs="Arial"/>
        </w:rPr>
      </w:pPr>
    </w:p>
    <w:p w:rsidR="00372A35" w:rsidRDefault="00C41EEB" w:rsidP="00BE54ED">
      <w:pPr>
        <w:spacing w:after="0" w:line="259" w:lineRule="auto"/>
        <w:jc w:val="both"/>
        <w:rPr>
          <w:rFonts w:ascii="Arial" w:hAnsi="Arial" w:cs="Arial"/>
        </w:rPr>
      </w:pPr>
      <w:r>
        <w:rPr>
          <w:rFonts w:ascii="Arial" w:hAnsi="Arial" w:cs="Arial"/>
        </w:rPr>
        <w:t>Par ailleurs</w:t>
      </w:r>
      <w:r w:rsidR="00F8709C">
        <w:rPr>
          <w:rFonts w:ascii="Arial" w:hAnsi="Arial" w:cs="Arial"/>
        </w:rPr>
        <w:t>, l</w:t>
      </w:r>
      <w:r w:rsidR="0088570B">
        <w:rPr>
          <w:rFonts w:ascii="Arial" w:hAnsi="Arial" w:cs="Arial"/>
        </w:rPr>
        <w:t xml:space="preserve">es auteurs de l’enquête du WEF enregistrent une légère amélioration de la situation des pays </w:t>
      </w:r>
      <w:r w:rsidR="00846A62">
        <w:rPr>
          <w:rFonts w:ascii="Arial" w:hAnsi="Arial" w:cs="Arial"/>
        </w:rPr>
        <w:t xml:space="preserve">européens </w:t>
      </w:r>
      <w:r w:rsidR="0088570B">
        <w:rPr>
          <w:rFonts w:ascii="Arial" w:hAnsi="Arial" w:cs="Arial"/>
        </w:rPr>
        <w:t xml:space="preserve">qui se trouvaient jusqu’à récemment dans des situations particulièrement délicates </w:t>
      </w:r>
      <w:r w:rsidR="00846A62">
        <w:rPr>
          <w:rFonts w:ascii="Arial" w:hAnsi="Arial" w:cs="Arial"/>
        </w:rPr>
        <w:t>et de l’autre</w:t>
      </w:r>
      <w:r w:rsidR="00B73D15">
        <w:rPr>
          <w:rFonts w:ascii="Arial" w:hAnsi="Arial" w:cs="Arial"/>
        </w:rPr>
        <w:t xml:space="preserve"> côté</w:t>
      </w:r>
      <w:r w:rsidR="00846A62">
        <w:rPr>
          <w:rFonts w:ascii="Arial" w:hAnsi="Arial" w:cs="Arial"/>
        </w:rPr>
        <w:t xml:space="preserve">, ils constatent </w:t>
      </w:r>
      <w:r w:rsidR="00B73D15">
        <w:rPr>
          <w:rFonts w:ascii="Arial" w:hAnsi="Arial" w:cs="Arial"/>
        </w:rPr>
        <w:t>une évolution as</w:t>
      </w:r>
      <w:r w:rsidR="001A6E75">
        <w:rPr>
          <w:rFonts w:ascii="Arial" w:hAnsi="Arial" w:cs="Arial"/>
        </w:rPr>
        <w:t>sez préoccupante pour d’autres</w:t>
      </w:r>
      <w:r w:rsidR="00363E9C">
        <w:rPr>
          <w:rFonts w:ascii="Arial" w:hAnsi="Arial" w:cs="Arial"/>
        </w:rPr>
        <w:t xml:space="preserve"> géographies</w:t>
      </w:r>
      <w:r w:rsidR="001A6E75">
        <w:rPr>
          <w:rFonts w:ascii="Arial" w:hAnsi="Arial" w:cs="Arial"/>
        </w:rPr>
        <w:t xml:space="preserve">. </w:t>
      </w:r>
      <w:r w:rsidR="00B73D15">
        <w:rPr>
          <w:rFonts w:ascii="Arial" w:hAnsi="Arial" w:cs="Arial"/>
        </w:rPr>
        <w:t>Ainsi, l</w:t>
      </w:r>
      <w:r w:rsidR="00364261">
        <w:rPr>
          <w:rFonts w:ascii="Arial" w:hAnsi="Arial" w:cs="Arial"/>
        </w:rPr>
        <w:t>’Espagne présente</w:t>
      </w:r>
      <w:r w:rsidR="00363E9C">
        <w:rPr>
          <w:rFonts w:ascii="Arial" w:hAnsi="Arial" w:cs="Arial"/>
        </w:rPr>
        <w:t xml:space="preserve"> par exemple</w:t>
      </w:r>
      <w:r w:rsidR="00364261">
        <w:rPr>
          <w:rFonts w:ascii="Arial" w:hAnsi="Arial" w:cs="Arial"/>
        </w:rPr>
        <w:t xml:space="preserve"> des améliorati</w:t>
      </w:r>
      <w:r w:rsidR="00846A62">
        <w:rPr>
          <w:rFonts w:ascii="Arial" w:hAnsi="Arial" w:cs="Arial"/>
        </w:rPr>
        <w:t>ons</w:t>
      </w:r>
      <w:r w:rsidR="00044538">
        <w:rPr>
          <w:rFonts w:ascii="Arial" w:hAnsi="Arial" w:cs="Arial"/>
        </w:rPr>
        <w:t xml:space="preserve"> notables</w:t>
      </w:r>
      <w:r w:rsidR="00846A62">
        <w:rPr>
          <w:rFonts w:ascii="Arial" w:hAnsi="Arial" w:cs="Arial"/>
        </w:rPr>
        <w:t xml:space="preserve"> au niveau de la stabilité de son</w:t>
      </w:r>
      <w:r w:rsidR="00364261">
        <w:rPr>
          <w:rFonts w:ascii="Arial" w:hAnsi="Arial" w:cs="Arial"/>
        </w:rPr>
        <w:t xml:space="preserve"> secteur financier et de son environnement </w:t>
      </w:r>
      <w:r w:rsidR="000F5663">
        <w:rPr>
          <w:rFonts w:ascii="Arial" w:hAnsi="Arial" w:cs="Arial"/>
        </w:rPr>
        <w:t xml:space="preserve">des </w:t>
      </w:r>
      <w:r w:rsidR="00364261">
        <w:rPr>
          <w:rFonts w:ascii="Arial" w:hAnsi="Arial" w:cs="Arial"/>
        </w:rPr>
        <w:t>affaires</w:t>
      </w:r>
      <w:r w:rsidR="00326539">
        <w:rPr>
          <w:rFonts w:ascii="Arial" w:hAnsi="Arial" w:cs="Arial"/>
        </w:rPr>
        <w:t xml:space="preserve"> (avançant du 42</w:t>
      </w:r>
      <w:r w:rsidR="002506B8">
        <w:rPr>
          <w:rFonts w:ascii="Arial" w:hAnsi="Arial" w:cs="Arial"/>
          <w:vertAlign w:val="superscript"/>
        </w:rPr>
        <w:t>e</w:t>
      </w:r>
      <w:r w:rsidR="00326539">
        <w:rPr>
          <w:rFonts w:ascii="Arial" w:hAnsi="Arial" w:cs="Arial"/>
        </w:rPr>
        <w:t xml:space="preserve"> rang en 2012 au 35</w:t>
      </w:r>
      <w:r w:rsidR="00326539" w:rsidRPr="00326539">
        <w:rPr>
          <w:rFonts w:ascii="Arial" w:hAnsi="Arial" w:cs="Arial"/>
          <w:vertAlign w:val="superscript"/>
        </w:rPr>
        <w:t>e</w:t>
      </w:r>
      <w:r w:rsidR="00326539">
        <w:rPr>
          <w:rFonts w:ascii="Arial" w:hAnsi="Arial" w:cs="Arial"/>
        </w:rPr>
        <w:t>), le Portugal réussit à réduire la charge administrati</w:t>
      </w:r>
      <w:r w:rsidR="00D50A73">
        <w:rPr>
          <w:rFonts w:ascii="Arial" w:hAnsi="Arial" w:cs="Arial"/>
        </w:rPr>
        <w:t>ve (occupant la 36</w:t>
      </w:r>
      <w:r w:rsidR="00D50A73" w:rsidRPr="00D50A73">
        <w:rPr>
          <w:rFonts w:ascii="Arial" w:hAnsi="Arial" w:cs="Arial"/>
          <w:vertAlign w:val="superscript"/>
        </w:rPr>
        <w:t>e</w:t>
      </w:r>
      <w:r w:rsidR="00D50A73">
        <w:rPr>
          <w:rFonts w:ascii="Arial" w:hAnsi="Arial" w:cs="Arial"/>
        </w:rPr>
        <w:t xml:space="preserve"> place par rapport à une 51</w:t>
      </w:r>
      <w:r w:rsidR="00D50A73" w:rsidRPr="00D50A73">
        <w:rPr>
          <w:rFonts w:ascii="Arial" w:hAnsi="Arial" w:cs="Arial"/>
          <w:vertAlign w:val="superscript"/>
        </w:rPr>
        <w:t>e</w:t>
      </w:r>
      <w:r w:rsidR="00D50A73">
        <w:rPr>
          <w:rFonts w:ascii="Arial" w:hAnsi="Arial" w:cs="Arial"/>
        </w:rPr>
        <w:t xml:space="preserve"> place en 2013) et la Grèce parvient à réduire son déficit budgétaire</w:t>
      </w:r>
      <w:r w:rsidR="00AA170E">
        <w:rPr>
          <w:rFonts w:ascii="Arial" w:hAnsi="Arial" w:cs="Arial"/>
        </w:rPr>
        <w:t xml:space="preserve"> et</w:t>
      </w:r>
      <w:r w:rsidR="009B737F">
        <w:rPr>
          <w:rFonts w:ascii="Arial" w:hAnsi="Arial" w:cs="Arial"/>
        </w:rPr>
        <w:t xml:space="preserve"> à</w:t>
      </w:r>
      <w:r w:rsidR="00AA170E">
        <w:rPr>
          <w:rFonts w:ascii="Arial" w:hAnsi="Arial" w:cs="Arial"/>
        </w:rPr>
        <w:t xml:space="preserve"> renforcer son marché des biens (</w:t>
      </w:r>
      <w:r w:rsidR="00044538">
        <w:rPr>
          <w:rFonts w:ascii="Arial" w:hAnsi="Arial" w:cs="Arial"/>
        </w:rPr>
        <w:t>à la 81</w:t>
      </w:r>
      <w:r w:rsidR="00A01000" w:rsidRPr="00A01000">
        <w:rPr>
          <w:rFonts w:ascii="Arial" w:hAnsi="Arial" w:cs="Arial"/>
          <w:vertAlign w:val="superscript"/>
        </w:rPr>
        <w:t>e</w:t>
      </w:r>
      <w:r w:rsidR="00044538">
        <w:rPr>
          <w:rFonts w:ascii="Arial" w:hAnsi="Arial" w:cs="Arial"/>
        </w:rPr>
        <w:t xml:space="preserve"> </w:t>
      </w:r>
      <w:r w:rsidR="00AA170E">
        <w:rPr>
          <w:rFonts w:ascii="Arial" w:hAnsi="Arial" w:cs="Arial"/>
        </w:rPr>
        <w:t>place</w:t>
      </w:r>
      <w:r>
        <w:rPr>
          <w:rFonts w:ascii="Arial" w:hAnsi="Arial" w:cs="Arial"/>
        </w:rPr>
        <w:t>,</w:t>
      </w:r>
      <w:r w:rsidR="00AA170E">
        <w:rPr>
          <w:rFonts w:ascii="Arial" w:hAnsi="Arial" w:cs="Arial"/>
        </w:rPr>
        <w:t xml:space="preserve"> après avoir occupé</w:t>
      </w:r>
      <w:r w:rsidR="00044538">
        <w:rPr>
          <w:rFonts w:ascii="Arial" w:hAnsi="Arial" w:cs="Arial"/>
        </w:rPr>
        <w:t xml:space="preserve"> le 96</w:t>
      </w:r>
      <w:r w:rsidR="00A01000" w:rsidRPr="00A01000">
        <w:rPr>
          <w:rFonts w:ascii="Arial" w:hAnsi="Arial" w:cs="Arial"/>
          <w:vertAlign w:val="superscript"/>
        </w:rPr>
        <w:t>e</w:t>
      </w:r>
      <w:r w:rsidR="00044538">
        <w:rPr>
          <w:rFonts w:ascii="Arial" w:hAnsi="Arial" w:cs="Arial"/>
        </w:rPr>
        <w:t xml:space="preserve"> </w:t>
      </w:r>
      <w:r w:rsidR="00AA170E">
        <w:rPr>
          <w:rFonts w:ascii="Arial" w:hAnsi="Arial" w:cs="Arial"/>
        </w:rPr>
        <w:t xml:space="preserve">rang en 2012). </w:t>
      </w:r>
      <w:r w:rsidR="00846A62">
        <w:rPr>
          <w:rFonts w:ascii="Arial" w:hAnsi="Arial" w:cs="Arial"/>
        </w:rPr>
        <w:t xml:space="preserve">Alors que </w:t>
      </w:r>
      <w:r w:rsidR="0056121B">
        <w:rPr>
          <w:rFonts w:ascii="Arial" w:hAnsi="Arial" w:cs="Arial"/>
        </w:rPr>
        <w:t xml:space="preserve">ces </w:t>
      </w:r>
      <w:r w:rsidR="00AA7FE5">
        <w:rPr>
          <w:rFonts w:ascii="Arial" w:hAnsi="Arial" w:cs="Arial"/>
        </w:rPr>
        <w:t>économies</w:t>
      </w:r>
      <w:r w:rsidR="0056121B">
        <w:rPr>
          <w:rFonts w:ascii="Arial" w:hAnsi="Arial" w:cs="Arial"/>
        </w:rPr>
        <w:t xml:space="preserve"> so</w:t>
      </w:r>
      <w:r w:rsidR="00846A62">
        <w:rPr>
          <w:rFonts w:ascii="Arial" w:hAnsi="Arial" w:cs="Arial"/>
        </w:rPr>
        <w:t xml:space="preserve">nt loin d’être guéries, </w:t>
      </w:r>
      <w:r w:rsidR="00FD5DBA">
        <w:rPr>
          <w:rFonts w:ascii="Arial" w:hAnsi="Arial" w:cs="Arial"/>
        </w:rPr>
        <w:t xml:space="preserve">il est encourageant d’observer que les premières </w:t>
      </w:r>
      <w:r w:rsidR="00846A62">
        <w:rPr>
          <w:rFonts w:ascii="Arial" w:hAnsi="Arial" w:cs="Arial"/>
        </w:rPr>
        <w:t xml:space="preserve">réformes portent leurs </w:t>
      </w:r>
      <w:r w:rsidR="008C095C">
        <w:rPr>
          <w:rFonts w:ascii="Arial" w:hAnsi="Arial" w:cs="Arial"/>
        </w:rPr>
        <w:t xml:space="preserve">fruits. </w:t>
      </w:r>
    </w:p>
    <w:p w:rsidR="002872C6" w:rsidRDefault="002872C6" w:rsidP="00BE54ED">
      <w:pPr>
        <w:spacing w:after="0" w:line="259" w:lineRule="auto"/>
        <w:jc w:val="both"/>
        <w:rPr>
          <w:rFonts w:ascii="Arial" w:hAnsi="Arial" w:cs="Arial"/>
        </w:rPr>
      </w:pPr>
    </w:p>
    <w:p w:rsidR="000F5663" w:rsidRPr="00364F73" w:rsidRDefault="008C095C" w:rsidP="00BE54ED">
      <w:pPr>
        <w:spacing w:after="0" w:line="259" w:lineRule="auto"/>
        <w:jc w:val="both"/>
        <w:rPr>
          <w:rFonts w:ascii="Arial" w:hAnsi="Arial" w:cs="Arial"/>
        </w:rPr>
      </w:pPr>
      <w:r>
        <w:rPr>
          <w:rFonts w:ascii="Arial" w:hAnsi="Arial" w:cs="Arial"/>
        </w:rPr>
        <w:t>Pour la Finlande, l’Itali</w:t>
      </w:r>
      <w:r w:rsidR="005F0252">
        <w:rPr>
          <w:rFonts w:ascii="Arial" w:hAnsi="Arial" w:cs="Arial"/>
        </w:rPr>
        <w:t xml:space="preserve">e et la </w:t>
      </w:r>
      <w:r w:rsidR="00C825C7">
        <w:rPr>
          <w:rFonts w:ascii="Arial" w:hAnsi="Arial" w:cs="Arial"/>
        </w:rPr>
        <w:t>France,</w:t>
      </w:r>
      <w:r w:rsidR="005F0252">
        <w:rPr>
          <w:rFonts w:ascii="Arial" w:hAnsi="Arial" w:cs="Arial"/>
        </w:rPr>
        <w:t xml:space="preserve"> des réformes pare</w:t>
      </w:r>
      <w:r>
        <w:rPr>
          <w:rFonts w:ascii="Arial" w:hAnsi="Arial" w:cs="Arial"/>
        </w:rPr>
        <w:t>illes s’avèrent</w:t>
      </w:r>
      <w:r w:rsidR="00044538">
        <w:rPr>
          <w:rFonts w:ascii="Arial" w:hAnsi="Arial" w:cs="Arial"/>
        </w:rPr>
        <w:t xml:space="preserve"> sans doute</w:t>
      </w:r>
      <w:r>
        <w:rPr>
          <w:rFonts w:ascii="Arial" w:hAnsi="Arial" w:cs="Arial"/>
        </w:rPr>
        <w:t xml:space="preserve"> plus nécessaires que jamais. Bien que la Finlande </w:t>
      </w:r>
      <w:r w:rsidR="00044538">
        <w:rPr>
          <w:rFonts w:ascii="Arial" w:hAnsi="Arial" w:cs="Arial"/>
        </w:rPr>
        <w:t>n’</w:t>
      </w:r>
      <w:r>
        <w:rPr>
          <w:rFonts w:ascii="Arial" w:hAnsi="Arial" w:cs="Arial"/>
        </w:rPr>
        <w:t xml:space="preserve">enregistre </w:t>
      </w:r>
      <w:r w:rsidR="00044538">
        <w:rPr>
          <w:rFonts w:ascii="Arial" w:hAnsi="Arial" w:cs="Arial"/>
        </w:rPr>
        <w:t>qu’</w:t>
      </w:r>
      <w:r>
        <w:rPr>
          <w:rFonts w:ascii="Arial" w:hAnsi="Arial" w:cs="Arial"/>
        </w:rPr>
        <w:t xml:space="preserve">un recul minimal d’une place par rapport à l’année précédente pour se retrouver </w:t>
      </w:r>
      <w:r w:rsidR="00C41EEB">
        <w:rPr>
          <w:rFonts w:ascii="Arial" w:hAnsi="Arial" w:cs="Arial"/>
        </w:rPr>
        <w:t>à</w:t>
      </w:r>
      <w:r>
        <w:rPr>
          <w:rFonts w:ascii="Arial" w:hAnsi="Arial" w:cs="Arial"/>
        </w:rPr>
        <w:t xml:space="preserve"> la 4</w:t>
      </w:r>
      <w:r w:rsidRPr="00575B55">
        <w:rPr>
          <w:rFonts w:ascii="Arial" w:hAnsi="Arial" w:cs="Arial"/>
          <w:vertAlign w:val="superscript"/>
        </w:rPr>
        <w:t>e</w:t>
      </w:r>
      <w:r>
        <w:rPr>
          <w:rFonts w:ascii="Arial" w:hAnsi="Arial" w:cs="Arial"/>
        </w:rPr>
        <w:t xml:space="preserve"> place, </w:t>
      </w:r>
      <w:r w:rsidR="005F0252">
        <w:rPr>
          <w:rFonts w:ascii="Arial" w:hAnsi="Arial" w:cs="Arial"/>
        </w:rPr>
        <w:t>le</w:t>
      </w:r>
      <w:r w:rsidR="00587795">
        <w:rPr>
          <w:rFonts w:ascii="Arial" w:hAnsi="Arial" w:cs="Arial"/>
        </w:rPr>
        <w:t xml:space="preserve"> </w:t>
      </w:r>
      <w:r w:rsidR="00587795" w:rsidRPr="001A6E75">
        <w:rPr>
          <w:rFonts w:ascii="Arial" w:hAnsi="Arial" w:cs="Arial"/>
        </w:rPr>
        <w:t xml:space="preserve">niveau de son déficit et de se dette publique </w:t>
      </w:r>
      <w:r w:rsidR="005F0252" w:rsidRPr="001A6E75">
        <w:rPr>
          <w:rFonts w:ascii="Arial" w:hAnsi="Arial" w:cs="Arial"/>
        </w:rPr>
        <w:t>est alarmant.</w:t>
      </w:r>
      <w:r w:rsidR="008F55EB" w:rsidRPr="001A6E75">
        <w:rPr>
          <w:rFonts w:ascii="Arial" w:hAnsi="Arial" w:cs="Arial"/>
        </w:rPr>
        <w:t xml:space="preserve"> A noter également la chute de l’Italie (de la 42</w:t>
      </w:r>
      <w:r w:rsidR="008F55EB" w:rsidRPr="00575B55">
        <w:rPr>
          <w:rFonts w:ascii="Arial" w:hAnsi="Arial" w:cs="Arial"/>
          <w:vertAlign w:val="superscript"/>
        </w:rPr>
        <w:t>e</w:t>
      </w:r>
      <w:r w:rsidR="008F55EB" w:rsidRPr="001A6E75">
        <w:rPr>
          <w:rFonts w:ascii="Arial" w:hAnsi="Arial" w:cs="Arial"/>
        </w:rPr>
        <w:t xml:space="preserve"> place en 2012 à la 49</w:t>
      </w:r>
      <w:r w:rsidR="002506B8" w:rsidRPr="002506B8">
        <w:rPr>
          <w:rFonts w:ascii="Arial" w:hAnsi="Arial" w:cs="Arial"/>
          <w:vertAlign w:val="superscript"/>
        </w:rPr>
        <w:t>e</w:t>
      </w:r>
      <w:r w:rsidR="008F55EB" w:rsidRPr="001A6E75">
        <w:rPr>
          <w:rFonts w:ascii="Arial" w:hAnsi="Arial" w:cs="Arial"/>
        </w:rPr>
        <w:t xml:space="preserve">) due notamment à </w:t>
      </w:r>
      <w:r w:rsidR="000F5663">
        <w:rPr>
          <w:rFonts w:ascii="Arial" w:hAnsi="Arial" w:cs="Arial"/>
        </w:rPr>
        <w:t>une</w:t>
      </w:r>
      <w:r w:rsidR="00B84316" w:rsidRPr="001A6E75">
        <w:rPr>
          <w:rFonts w:ascii="Arial" w:hAnsi="Arial" w:cs="Arial"/>
        </w:rPr>
        <w:t xml:space="preserve"> administration publique</w:t>
      </w:r>
      <w:r w:rsidR="000F5663">
        <w:rPr>
          <w:rFonts w:ascii="Arial" w:hAnsi="Arial" w:cs="Arial"/>
        </w:rPr>
        <w:t xml:space="preserve"> évaluée négativement</w:t>
      </w:r>
      <w:r w:rsidR="00C41EEB">
        <w:rPr>
          <w:rFonts w:ascii="Arial" w:hAnsi="Arial" w:cs="Arial"/>
        </w:rPr>
        <w:t xml:space="preserve"> par les chefs d’entreprises</w:t>
      </w:r>
      <w:r w:rsidR="009B737F">
        <w:rPr>
          <w:rFonts w:ascii="Arial" w:hAnsi="Arial" w:cs="Arial"/>
        </w:rPr>
        <w:t xml:space="preserve"> italiens</w:t>
      </w:r>
      <w:r w:rsidR="00D75569" w:rsidRPr="001A6E75">
        <w:rPr>
          <w:rFonts w:ascii="Arial" w:hAnsi="Arial" w:cs="Arial"/>
        </w:rPr>
        <w:t xml:space="preserve"> et la rigidité de son marché du</w:t>
      </w:r>
      <w:r w:rsidR="00B84316" w:rsidRPr="001A6E75">
        <w:rPr>
          <w:rFonts w:ascii="Arial" w:hAnsi="Arial" w:cs="Arial"/>
        </w:rPr>
        <w:t xml:space="preserve"> travail</w:t>
      </w:r>
      <w:r w:rsidR="00846A62">
        <w:rPr>
          <w:rFonts w:ascii="Arial" w:hAnsi="Arial" w:cs="Arial"/>
        </w:rPr>
        <w:t>,</w:t>
      </w:r>
      <w:r w:rsidR="001A6E75">
        <w:rPr>
          <w:rFonts w:ascii="Arial" w:hAnsi="Arial" w:cs="Arial"/>
        </w:rPr>
        <w:t xml:space="preserve"> et la dété</w:t>
      </w:r>
      <w:r w:rsidR="00D75569" w:rsidRPr="001A6E75">
        <w:rPr>
          <w:rFonts w:ascii="Arial" w:hAnsi="Arial" w:cs="Arial"/>
        </w:rPr>
        <w:t xml:space="preserve">rioration du classement </w:t>
      </w:r>
      <w:r w:rsidR="00846A62">
        <w:rPr>
          <w:rFonts w:ascii="Arial" w:hAnsi="Arial" w:cs="Arial"/>
        </w:rPr>
        <w:t>de la France (passant de</w:t>
      </w:r>
      <w:r w:rsidR="00D75569" w:rsidRPr="001A6E75">
        <w:rPr>
          <w:rFonts w:ascii="Arial" w:hAnsi="Arial" w:cs="Arial"/>
        </w:rPr>
        <w:t xml:space="preserve"> la 15</w:t>
      </w:r>
      <w:r w:rsidR="00D75569" w:rsidRPr="00575B55">
        <w:rPr>
          <w:rFonts w:ascii="Arial" w:hAnsi="Arial" w:cs="Arial"/>
          <w:vertAlign w:val="superscript"/>
        </w:rPr>
        <w:t>e</w:t>
      </w:r>
      <w:r w:rsidR="00D75569" w:rsidRPr="001A6E75">
        <w:rPr>
          <w:rFonts w:ascii="Arial" w:hAnsi="Arial" w:cs="Arial"/>
        </w:rPr>
        <w:t xml:space="preserve"> place en 2010 à la 23</w:t>
      </w:r>
      <w:r w:rsidR="00D75569" w:rsidRPr="00575B55">
        <w:rPr>
          <w:rFonts w:ascii="Arial" w:hAnsi="Arial" w:cs="Arial"/>
          <w:vertAlign w:val="superscript"/>
        </w:rPr>
        <w:t>e</w:t>
      </w:r>
      <w:r w:rsidR="00C41EEB">
        <w:rPr>
          <w:rFonts w:ascii="Arial" w:hAnsi="Arial" w:cs="Arial"/>
          <w:vertAlign w:val="superscript"/>
        </w:rPr>
        <w:t xml:space="preserve"> </w:t>
      </w:r>
      <w:r w:rsidR="009B737F">
        <w:rPr>
          <w:rFonts w:ascii="Arial" w:hAnsi="Arial" w:cs="Arial"/>
        </w:rPr>
        <w:t>en l’espace de quelques années seulement</w:t>
      </w:r>
      <w:r w:rsidR="001A6E75">
        <w:rPr>
          <w:rFonts w:ascii="Arial" w:hAnsi="Arial" w:cs="Arial"/>
        </w:rPr>
        <w:t>)</w:t>
      </w:r>
      <w:r w:rsidR="000F5663">
        <w:rPr>
          <w:rFonts w:ascii="Arial" w:hAnsi="Arial" w:cs="Arial"/>
        </w:rPr>
        <w:t>.</w:t>
      </w:r>
      <w:r w:rsidR="00D75569" w:rsidRPr="001A6E75">
        <w:rPr>
          <w:rFonts w:ascii="Arial" w:hAnsi="Arial" w:cs="Arial"/>
        </w:rPr>
        <w:t xml:space="preserve"> </w:t>
      </w:r>
    </w:p>
    <w:p w:rsidR="009B737F" w:rsidRDefault="009B737F">
      <w:pPr>
        <w:rPr>
          <w:rFonts w:ascii="Arial" w:hAnsi="Arial" w:cs="Arial"/>
          <w:b/>
          <w:sz w:val="24"/>
          <w:szCs w:val="24"/>
          <w:u w:val="single"/>
        </w:rPr>
      </w:pPr>
      <w:r>
        <w:rPr>
          <w:rFonts w:ascii="Arial" w:hAnsi="Arial" w:cs="Arial"/>
          <w:b/>
          <w:sz w:val="24"/>
          <w:szCs w:val="24"/>
          <w:u w:val="single"/>
        </w:rPr>
        <w:br w:type="page"/>
      </w:r>
    </w:p>
    <w:p w:rsidR="000F5663" w:rsidRDefault="000F5663" w:rsidP="00BE54ED">
      <w:pPr>
        <w:spacing w:after="0" w:line="259" w:lineRule="auto"/>
        <w:rPr>
          <w:rFonts w:ascii="Arial" w:hAnsi="Arial" w:cs="Arial"/>
          <w:b/>
          <w:sz w:val="24"/>
          <w:szCs w:val="24"/>
          <w:u w:val="single"/>
        </w:rPr>
      </w:pPr>
      <w:r>
        <w:rPr>
          <w:rFonts w:ascii="Arial" w:hAnsi="Arial" w:cs="Arial"/>
          <w:b/>
          <w:sz w:val="24"/>
          <w:szCs w:val="24"/>
          <w:u w:val="single"/>
        </w:rPr>
        <w:lastRenderedPageBreak/>
        <w:t>Analyse détaillée de la compétitivité du Luxembourg</w:t>
      </w:r>
    </w:p>
    <w:p w:rsidR="002872C6" w:rsidRDefault="002872C6" w:rsidP="00BE54ED">
      <w:pPr>
        <w:spacing w:after="0" w:line="259" w:lineRule="auto"/>
        <w:jc w:val="both"/>
        <w:rPr>
          <w:rFonts w:ascii="Arial" w:hAnsi="Arial" w:cs="Arial"/>
        </w:rPr>
      </w:pPr>
    </w:p>
    <w:p w:rsidR="00434CB6" w:rsidRDefault="00372A35" w:rsidP="00BE54ED">
      <w:pPr>
        <w:spacing w:after="0" w:line="259" w:lineRule="auto"/>
        <w:jc w:val="both"/>
        <w:rPr>
          <w:rFonts w:ascii="Arial" w:hAnsi="Arial" w:cs="Arial"/>
        </w:rPr>
      </w:pPr>
      <w:r>
        <w:rPr>
          <w:rFonts w:ascii="Arial" w:hAnsi="Arial" w:cs="Arial"/>
        </w:rPr>
        <w:t xml:space="preserve">La compétitivité au niveau européen se </w:t>
      </w:r>
      <w:r w:rsidR="0007221C">
        <w:rPr>
          <w:rFonts w:ascii="Arial" w:hAnsi="Arial" w:cs="Arial"/>
        </w:rPr>
        <w:t>mesure</w:t>
      </w:r>
      <w:r>
        <w:rPr>
          <w:rFonts w:ascii="Arial" w:hAnsi="Arial" w:cs="Arial"/>
        </w:rPr>
        <w:t xml:space="preserve"> notamment en fonction de la  </w:t>
      </w:r>
      <w:r w:rsidR="0007221C">
        <w:rPr>
          <w:rFonts w:ascii="Arial" w:hAnsi="Arial" w:cs="Arial"/>
        </w:rPr>
        <w:t xml:space="preserve">détermination </w:t>
      </w:r>
      <w:r>
        <w:rPr>
          <w:rFonts w:ascii="Arial" w:hAnsi="Arial" w:cs="Arial"/>
        </w:rPr>
        <w:t xml:space="preserve">des pays à </w:t>
      </w:r>
      <w:r w:rsidR="0007221C">
        <w:rPr>
          <w:rFonts w:ascii="Arial" w:hAnsi="Arial" w:cs="Arial"/>
        </w:rPr>
        <w:t xml:space="preserve">mettre en </w:t>
      </w:r>
      <w:r w:rsidR="000F5663">
        <w:rPr>
          <w:rFonts w:ascii="Arial" w:hAnsi="Arial" w:cs="Arial"/>
        </w:rPr>
        <w:t>œuvre</w:t>
      </w:r>
      <w:r w:rsidR="00C41EEB">
        <w:rPr>
          <w:rFonts w:ascii="Arial" w:hAnsi="Arial" w:cs="Arial"/>
        </w:rPr>
        <w:t xml:space="preserve"> des réformes ambitieuses : </w:t>
      </w:r>
      <w:r w:rsidR="00C825C7">
        <w:rPr>
          <w:rFonts w:ascii="Arial" w:hAnsi="Arial" w:cs="Arial"/>
        </w:rPr>
        <w:t xml:space="preserve">des bonnes nouvelles pour le </w:t>
      </w:r>
      <w:r w:rsidR="00C175FC">
        <w:rPr>
          <w:rFonts w:ascii="Arial" w:hAnsi="Arial" w:cs="Arial"/>
        </w:rPr>
        <w:t>Luxembourg qui s’attend à une rentrée parlementaire annonçant une série de réformes structurelles pour les années à venir</w:t>
      </w:r>
      <w:r w:rsidR="00044538">
        <w:rPr>
          <w:rFonts w:ascii="Arial" w:hAnsi="Arial" w:cs="Arial"/>
        </w:rPr>
        <w:t> ?</w:t>
      </w:r>
    </w:p>
    <w:p w:rsidR="002872C6" w:rsidRDefault="002872C6" w:rsidP="00BE54ED">
      <w:pPr>
        <w:spacing w:after="0" w:line="259" w:lineRule="auto"/>
        <w:jc w:val="both"/>
        <w:rPr>
          <w:rFonts w:ascii="Arial" w:hAnsi="Arial" w:cs="Arial"/>
        </w:rPr>
      </w:pPr>
    </w:p>
    <w:p w:rsidR="00434CB6" w:rsidRDefault="00A01000" w:rsidP="00BE54ED">
      <w:pPr>
        <w:spacing w:after="0" w:line="259" w:lineRule="auto"/>
        <w:jc w:val="both"/>
        <w:rPr>
          <w:rFonts w:ascii="Arial" w:hAnsi="Arial" w:cs="Arial"/>
          <w:b/>
          <w:szCs w:val="20"/>
        </w:rPr>
      </w:pPr>
      <w:r>
        <w:rPr>
          <w:rFonts w:ascii="Arial" w:hAnsi="Arial" w:cs="Arial"/>
        </w:rPr>
        <w:t>Pour</w:t>
      </w:r>
      <w:r w:rsidR="00044538">
        <w:rPr>
          <w:rFonts w:ascii="Arial" w:hAnsi="Arial" w:cs="Arial"/>
        </w:rPr>
        <w:t xml:space="preserve"> </w:t>
      </w:r>
      <w:r w:rsidR="0083368B">
        <w:rPr>
          <w:rFonts w:ascii="Arial" w:hAnsi="Arial" w:cs="Arial"/>
        </w:rPr>
        <w:t xml:space="preserve">le </w:t>
      </w:r>
      <w:proofErr w:type="spellStart"/>
      <w:r w:rsidR="0083368B">
        <w:rPr>
          <w:rFonts w:ascii="Arial" w:hAnsi="Arial" w:cs="Arial"/>
        </w:rPr>
        <w:t>Grand-Duché</w:t>
      </w:r>
      <w:proofErr w:type="spellEnd"/>
      <w:r w:rsidR="00044538">
        <w:rPr>
          <w:rFonts w:ascii="Arial" w:hAnsi="Arial" w:cs="Arial"/>
        </w:rPr>
        <w:t>,</w:t>
      </w:r>
      <w:r>
        <w:rPr>
          <w:rFonts w:ascii="Arial" w:hAnsi="Arial" w:cs="Arial"/>
        </w:rPr>
        <w:t xml:space="preserve"> s’ensuit une analyse détaillée sur base des résultats </w:t>
      </w:r>
      <w:r w:rsidR="00266A1A">
        <w:rPr>
          <w:rFonts w:ascii="Arial" w:hAnsi="Arial" w:cs="Arial"/>
        </w:rPr>
        <w:t>partie</w:t>
      </w:r>
      <w:r w:rsidR="00545385">
        <w:rPr>
          <w:rFonts w:ascii="Arial" w:hAnsi="Arial" w:cs="Arial"/>
        </w:rPr>
        <w:t>l</w:t>
      </w:r>
      <w:r w:rsidR="00266A1A">
        <w:rPr>
          <w:rFonts w:ascii="Arial" w:hAnsi="Arial" w:cs="Arial"/>
        </w:rPr>
        <w:t>s</w:t>
      </w:r>
      <w:r>
        <w:rPr>
          <w:rFonts w:ascii="Arial" w:hAnsi="Arial" w:cs="Arial"/>
        </w:rPr>
        <w:t xml:space="preserve"> au niveau des sous-indices, piliers et indicateurs du GCR.</w:t>
      </w:r>
      <w:bookmarkStart w:id="0" w:name="OLE_LINK1"/>
    </w:p>
    <w:p w:rsidR="002872C6" w:rsidRDefault="002872C6" w:rsidP="00BE54ED">
      <w:pPr>
        <w:spacing w:after="0" w:line="259" w:lineRule="auto"/>
        <w:rPr>
          <w:rFonts w:ascii="Arial" w:hAnsi="Arial" w:cs="Arial"/>
          <w:b/>
          <w:szCs w:val="20"/>
        </w:rPr>
      </w:pPr>
    </w:p>
    <w:p w:rsidR="00434CB6" w:rsidRDefault="000F5663" w:rsidP="00BE54ED">
      <w:pPr>
        <w:spacing w:after="0" w:line="259" w:lineRule="auto"/>
        <w:rPr>
          <w:rFonts w:ascii="Arial" w:hAnsi="Arial" w:cs="Arial"/>
          <w:b/>
          <w:szCs w:val="20"/>
          <w:highlight w:val="magenta"/>
        </w:rPr>
      </w:pPr>
      <w:r>
        <w:rPr>
          <w:rFonts w:ascii="Arial" w:hAnsi="Arial" w:cs="Arial"/>
          <w:b/>
          <w:szCs w:val="20"/>
        </w:rPr>
        <w:t>Sous-indice : « </w:t>
      </w:r>
      <w:r w:rsidR="00060577" w:rsidRPr="00060577">
        <w:rPr>
          <w:rFonts w:ascii="Arial" w:hAnsi="Arial" w:cs="Arial"/>
          <w:b/>
          <w:szCs w:val="20"/>
        </w:rPr>
        <w:t>CONDITIONS DE BASE</w:t>
      </w:r>
      <w:r>
        <w:rPr>
          <w:rFonts w:ascii="Arial" w:hAnsi="Arial" w:cs="Arial"/>
          <w:b/>
          <w:szCs w:val="20"/>
        </w:rPr>
        <w:t> »</w:t>
      </w:r>
      <w:r w:rsidR="00C14C15" w:rsidRPr="00E17EE3">
        <w:rPr>
          <w:rFonts w:ascii="Arial" w:hAnsi="Arial" w:cs="Arial"/>
          <w:b/>
          <w:szCs w:val="20"/>
          <w:highlight w:val="magenta"/>
        </w:rPr>
        <w:br/>
      </w:r>
      <w:r w:rsidR="00C20D3B">
        <w:rPr>
          <w:rFonts w:ascii="Arial" w:hAnsi="Arial" w:cs="Arial"/>
          <w:b/>
          <w:szCs w:val="20"/>
        </w:rPr>
        <w:t>Prenons la bonne note, visons à</w:t>
      </w:r>
      <w:r w:rsidR="00D668EA">
        <w:rPr>
          <w:rFonts w:ascii="Arial" w:hAnsi="Arial" w:cs="Arial"/>
          <w:b/>
          <w:szCs w:val="20"/>
        </w:rPr>
        <w:t xml:space="preserve"> obtenir un « excellent » !</w:t>
      </w:r>
    </w:p>
    <w:bookmarkEnd w:id="0"/>
    <w:p w:rsidR="00795292" w:rsidRPr="00FA427E" w:rsidRDefault="00630889" w:rsidP="00BE54ED">
      <w:pPr>
        <w:spacing w:after="0" w:line="259" w:lineRule="auto"/>
        <w:rPr>
          <w:rFonts w:ascii="Arial" w:eastAsia="Times New Roman" w:hAnsi="Arial" w:cs="Arial"/>
          <w:lang w:eastAsia="lb-LU"/>
        </w:rPr>
      </w:pPr>
      <w:r w:rsidRPr="00630889">
        <w:rPr>
          <w:noProof/>
          <w:szCs w:val="20"/>
          <w:lang w:val="en-US"/>
        </w:rPr>
        <w:drawing>
          <wp:anchor distT="0" distB="0" distL="114300" distR="114300" simplePos="0" relativeHeight="251673600" behindDoc="0" locked="0" layoutInCell="1" allowOverlap="1">
            <wp:simplePos x="0" y="0"/>
            <wp:positionH relativeFrom="column">
              <wp:posOffset>2557233</wp:posOffset>
            </wp:positionH>
            <wp:positionV relativeFrom="paragraph">
              <wp:posOffset>267040</wp:posOffset>
            </wp:positionV>
            <wp:extent cx="3298308" cy="946297"/>
            <wp:effectExtent l="1905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98308" cy="946297"/>
                    </a:xfrm>
                    <a:prstGeom prst="rect">
                      <a:avLst/>
                    </a:prstGeom>
                    <a:noFill/>
                    <a:ln w="9525">
                      <a:noFill/>
                      <a:miter lim="800000"/>
                      <a:headEnd/>
                      <a:tailEnd/>
                    </a:ln>
                  </pic:spPr>
                </pic:pic>
              </a:graphicData>
            </a:graphic>
          </wp:anchor>
        </w:drawing>
      </w:r>
      <w:r w:rsidR="00C14C15">
        <w:rPr>
          <w:rFonts w:ascii="Arial" w:hAnsi="Arial" w:cs="Arial"/>
          <w:sz w:val="20"/>
          <w:szCs w:val="20"/>
          <w:lang w:val="fr-FR"/>
        </w:rPr>
        <w:br/>
      </w:r>
      <w:r w:rsidR="00B64926" w:rsidRPr="00B64926">
        <w:rPr>
          <w:rFonts w:ascii="Arial" w:eastAsia="Times New Roman" w:hAnsi="Arial" w:cs="Arial"/>
          <w:noProof/>
          <w:lang w:val="en-US"/>
        </w:rPr>
        <w:drawing>
          <wp:inline distT="0" distB="0" distL="0" distR="0">
            <wp:extent cx="2277110" cy="1315085"/>
            <wp:effectExtent l="19050" t="0" r="2794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5292" w:rsidRDefault="00795292" w:rsidP="00BE54ED">
      <w:pPr>
        <w:spacing w:after="0" w:line="259" w:lineRule="auto"/>
        <w:jc w:val="both"/>
        <w:rPr>
          <w:rFonts w:ascii="Arial" w:hAnsi="Arial" w:cs="Arial"/>
          <w:b/>
        </w:rPr>
      </w:pPr>
    </w:p>
    <w:p w:rsidR="00DD4658" w:rsidRPr="00826692" w:rsidRDefault="002D6D02" w:rsidP="00BE54ED">
      <w:pPr>
        <w:spacing w:after="0" w:line="259" w:lineRule="auto"/>
        <w:jc w:val="both"/>
        <w:rPr>
          <w:rFonts w:ascii="Arial" w:hAnsi="Arial" w:cs="Arial"/>
          <w:b/>
          <w:lang w:val="fr-FR"/>
        </w:rPr>
      </w:pPr>
      <w:r w:rsidRPr="00826692">
        <w:rPr>
          <w:rFonts w:ascii="Arial" w:hAnsi="Arial" w:cs="Arial"/>
          <w:b/>
          <w:lang w:val="fr-FR"/>
        </w:rPr>
        <w:t>Après</w:t>
      </w:r>
      <w:r w:rsidR="001000BE" w:rsidRPr="00826692">
        <w:rPr>
          <w:rFonts w:ascii="Arial" w:hAnsi="Arial" w:cs="Arial"/>
          <w:b/>
          <w:lang w:val="fr-FR"/>
        </w:rPr>
        <w:t xml:space="preserve"> la</w:t>
      </w:r>
      <w:r w:rsidRPr="00826692">
        <w:rPr>
          <w:rFonts w:ascii="Arial" w:hAnsi="Arial" w:cs="Arial"/>
          <w:b/>
          <w:lang w:val="fr-FR"/>
        </w:rPr>
        <w:t xml:space="preserve"> </w:t>
      </w:r>
      <w:r w:rsidR="001000BE" w:rsidRPr="00826692">
        <w:rPr>
          <w:rFonts w:ascii="Arial" w:hAnsi="Arial" w:cs="Arial"/>
          <w:b/>
          <w:lang w:val="fr-FR"/>
        </w:rPr>
        <w:t>dété</w:t>
      </w:r>
      <w:r w:rsidR="000B4B65" w:rsidRPr="00826692">
        <w:rPr>
          <w:rFonts w:ascii="Arial" w:hAnsi="Arial" w:cs="Arial"/>
          <w:b/>
          <w:lang w:val="fr-FR"/>
        </w:rPr>
        <w:t>rioration continue</w:t>
      </w:r>
      <w:r w:rsidR="00D515C5">
        <w:rPr>
          <w:rFonts w:ascii="Arial" w:hAnsi="Arial" w:cs="Arial"/>
          <w:b/>
          <w:lang w:val="fr-FR"/>
        </w:rPr>
        <w:t>, sur trois ans,</w:t>
      </w:r>
      <w:r w:rsidR="000B4B65" w:rsidRPr="00826692">
        <w:rPr>
          <w:rFonts w:ascii="Arial" w:hAnsi="Arial" w:cs="Arial"/>
          <w:b/>
          <w:lang w:val="fr-FR"/>
        </w:rPr>
        <w:t xml:space="preserve"> </w:t>
      </w:r>
      <w:r w:rsidR="00274389" w:rsidRPr="00826692">
        <w:rPr>
          <w:rFonts w:ascii="Arial" w:hAnsi="Arial" w:cs="Arial"/>
          <w:b/>
          <w:lang w:val="fr-FR"/>
        </w:rPr>
        <w:t>d</w:t>
      </w:r>
      <w:r w:rsidR="000F5663">
        <w:rPr>
          <w:rFonts w:ascii="Arial" w:hAnsi="Arial" w:cs="Arial"/>
          <w:b/>
          <w:lang w:val="fr-FR"/>
        </w:rPr>
        <w:t>u sous-i</w:t>
      </w:r>
      <w:r w:rsidR="00274389" w:rsidRPr="00826692">
        <w:rPr>
          <w:rFonts w:ascii="Arial" w:hAnsi="Arial" w:cs="Arial"/>
          <w:b/>
          <w:lang w:val="fr-FR"/>
        </w:rPr>
        <w:t>ndice des conditions de base,</w:t>
      </w:r>
      <w:r w:rsidR="000F5663">
        <w:rPr>
          <w:rFonts w:ascii="Arial" w:hAnsi="Arial" w:cs="Arial"/>
          <w:b/>
          <w:lang w:val="fr-FR"/>
        </w:rPr>
        <w:t xml:space="preserve"> une force traditionnelle d</w:t>
      </w:r>
      <w:r w:rsidR="0083368B">
        <w:rPr>
          <w:rFonts w:ascii="Arial" w:hAnsi="Arial" w:cs="Arial"/>
          <w:b/>
          <w:lang w:val="fr-FR"/>
        </w:rPr>
        <w:t>u Luxembourg</w:t>
      </w:r>
      <w:r w:rsidR="000F5663">
        <w:rPr>
          <w:rFonts w:ascii="Arial" w:hAnsi="Arial" w:cs="Arial"/>
          <w:b/>
          <w:lang w:val="fr-FR"/>
        </w:rPr>
        <w:t>,</w:t>
      </w:r>
      <w:r w:rsidR="00274389" w:rsidRPr="00826692">
        <w:rPr>
          <w:rFonts w:ascii="Arial" w:hAnsi="Arial" w:cs="Arial"/>
          <w:b/>
          <w:lang w:val="fr-FR"/>
        </w:rPr>
        <w:t xml:space="preserve"> le</w:t>
      </w:r>
      <w:r w:rsidR="0083368B">
        <w:rPr>
          <w:rFonts w:ascii="Arial" w:hAnsi="Arial" w:cs="Arial"/>
          <w:b/>
          <w:lang w:val="fr-FR"/>
        </w:rPr>
        <w:t xml:space="preserve"> pays</w:t>
      </w:r>
      <w:r w:rsidRPr="00826692">
        <w:rPr>
          <w:rFonts w:ascii="Arial" w:hAnsi="Arial" w:cs="Arial"/>
          <w:b/>
          <w:lang w:val="fr-FR"/>
        </w:rPr>
        <w:t xml:space="preserve"> </w:t>
      </w:r>
      <w:r w:rsidR="00D26433" w:rsidRPr="00826692">
        <w:rPr>
          <w:rFonts w:ascii="Arial" w:hAnsi="Arial" w:cs="Arial"/>
          <w:b/>
          <w:lang w:val="fr-FR"/>
        </w:rPr>
        <w:t>renoue</w:t>
      </w:r>
      <w:r w:rsidR="00D515C5">
        <w:rPr>
          <w:rFonts w:ascii="Arial" w:hAnsi="Arial" w:cs="Arial"/>
          <w:b/>
          <w:lang w:val="fr-FR"/>
        </w:rPr>
        <w:t xml:space="preserve"> presque</w:t>
      </w:r>
      <w:r w:rsidR="00D26433" w:rsidRPr="00826692">
        <w:rPr>
          <w:rFonts w:ascii="Arial" w:hAnsi="Arial" w:cs="Arial"/>
          <w:b/>
          <w:lang w:val="fr-FR"/>
        </w:rPr>
        <w:t xml:space="preserve"> avec </w:t>
      </w:r>
      <w:r w:rsidRPr="00826692">
        <w:rPr>
          <w:rFonts w:ascii="Arial" w:hAnsi="Arial" w:cs="Arial"/>
          <w:b/>
          <w:lang w:val="fr-FR"/>
        </w:rPr>
        <w:t xml:space="preserve">son meilleur </w:t>
      </w:r>
      <w:r w:rsidR="00D26433" w:rsidRPr="00826692">
        <w:rPr>
          <w:rFonts w:ascii="Arial" w:hAnsi="Arial" w:cs="Arial"/>
          <w:b/>
          <w:lang w:val="fr-FR"/>
        </w:rPr>
        <w:t>rang</w:t>
      </w:r>
      <w:r w:rsidRPr="00826692">
        <w:rPr>
          <w:rFonts w:ascii="Arial" w:hAnsi="Arial" w:cs="Arial"/>
          <w:b/>
          <w:lang w:val="fr-FR"/>
        </w:rPr>
        <w:t xml:space="preserve"> historique</w:t>
      </w:r>
      <w:r w:rsidR="00266A1A">
        <w:rPr>
          <w:rFonts w:ascii="Arial" w:hAnsi="Arial" w:cs="Arial"/>
          <w:b/>
          <w:lang w:val="fr-FR"/>
        </w:rPr>
        <w:t xml:space="preserve"> en la matière</w:t>
      </w:r>
      <w:r w:rsidR="00274389" w:rsidRPr="00826692">
        <w:rPr>
          <w:rFonts w:ascii="Arial" w:hAnsi="Arial" w:cs="Arial"/>
          <w:b/>
          <w:lang w:val="fr-FR"/>
        </w:rPr>
        <w:t xml:space="preserve"> </w:t>
      </w:r>
      <w:r w:rsidR="001D39ED" w:rsidRPr="00826692">
        <w:rPr>
          <w:rFonts w:ascii="Arial" w:hAnsi="Arial" w:cs="Arial"/>
          <w:b/>
          <w:lang w:val="fr-FR"/>
        </w:rPr>
        <w:t xml:space="preserve">de 2011 </w:t>
      </w:r>
      <w:r w:rsidR="00274389" w:rsidRPr="00826692">
        <w:rPr>
          <w:rFonts w:ascii="Arial" w:hAnsi="Arial" w:cs="Arial"/>
          <w:b/>
          <w:lang w:val="fr-FR"/>
        </w:rPr>
        <w:t>(6</w:t>
      </w:r>
      <w:r w:rsidR="00A01000" w:rsidRPr="00A01000">
        <w:rPr>
          <w:rFonts w:ascii="Arial" w:hAnsi="Arial" w:cs="Arial"/>
          <w:b/>
          <w:vertAlign w:val="superscript"/>
          <w:lang w:val="fr-FR"/>
        </w:rPr>
        <w:t>e</w:t>
      </w:r>
      <w:r w:rsidR="000F5663">
        <w:rPr>
          <w:rFonts w:ascii="Arial" w:hAnsi="Arial" w:cs="Arial"/>
          <w:b/>
          <w:lang w:val="fr-FR"/>
        </w:rPr>
        <w:t xml:space="preserve"> rang</w:t>
      </w:r>
      <w:r w:rsidR="00274389" w:rsidRPr="00826692">
        <w:rPr>
          <w:rFonts w:ascii="Arial" w:hAnsi="Arial" w:cs="Arial"/>
          <w:b/>
          <w:lang w:val="fr-FR"/>
        </w:rPr>
        <w:t>).</w:t>
      </w:r>
      <w:r w:rsidR="0001235D" w:rsidRPr="00826692">
        <w:rPr>
          <w:rFonts w:ascii="Arial" w:hAnsi="Arial" w:cs="Arial"/>
          <w:b/>
          <w:lang w:val="fr-FR"/>
        </w:rPr>
        <w:t xml:space="preserve"> Cette évolution favorable </w:t>
      </w:r>
      <w:r w:rsidR="00394EAF" w:rsidRPr="00826692">
        <w:rPr>
          <w:rFonts w:ascii="Arial" w:hAnsi="Arial" w:cs="Arial"/>
          <w:b/>
          <w:lang w:val="fr-FR"/>
        </w:rPr>
        <w:t xml:space="preserve">est </w:t>
      </w:r>
      <w:r w:rsidR="00BB10EC" w:rsidRPr="00826692">
        <w:rPr>
          <w:rFonts w:ascii="Arial" w:hAnsi="Arial" w:cs="Arial"/>
          <w:b/>
          <w:lang w:val="fr-FR"/>
        </w:rPr>
        <w:t xml:space="preserve">en première ligne </w:t>
      </w:r>
      <w:r w:rsidR="00394EAF" w:rsidRPr="00826692">
        <w:rPr>
          <w:rFonts w:ascii="Arial" w:hAnsi="Arial" w:cs="Arial"/>
          <w:b/>
          <w:lang w:val="fr-FR"/>
        </w:rPr>
        <w:t>liée aux</w:t>
      </w:r>
      <w:r w:rsidR="0001235D" w:rsidRPr="00826692">
        <w:rPr>
          <w:rFonts w:ascii="Arial" w:hAnsi="Arial" w:cs="Arial"/>
          <w:b/>
          <w:lang w:val="fr-FR"/>
        </w:rPr>
        <w:t xml:space="preserve"> piliers des </w:t>
      </w:r>
      <w:r w:rsidR="0001235D" w:rsidRPr="00266A1A">
        <w:rPr>
          <w:rFonts w:ascii="Arial" w:hAnsi="Arial" w:cs="Arial"/>
          <w:b/>
          <w:u w:val="single"/>
          <w:lang w:val="fr-FR"/>
        </w:rPr>
        <w:t>institutions</w:t>
      </w:r>
      <w:r w:rsidR="0001235D" w:rsidRPr="00826692">
        <w:rPr>
          <w:rFonts w:ascii="Arial" w:hAnsi="Arial" w:cs="Arial"/>
          <w:b/>
          <w:lang w:val="fr-FR"/>
        </w:rPr>
        <w:t xml:space="preserve"> et de </w:t>
      </w:r>
      <w:r w:rsidR="0001235D" w:rsidRPr="00266A1A">
        <w:rPr>
          <w:rFonts w:ascii="Arial" w:hAnsi="Arial" w:cs="Arial"/>
          <w:b/>
          <w:lang w:val="fr-FR"/>
        </w:rPr>
        <w:t>l’</w:t>
      </w:r>
      <w:r w:rsidR="0001235D" w:rsidRPr="00266A1A">
        <w:rPr>
          <w:rFonts w:ascii="Arial" w:hAnsi="Arial" w:cs="Arial"/>
          <w:b/>
          <w:u w:val="single"/>
          <w:lang w:val="fr-FR"/>
        </w:rPr>
        <w:t>environnement macroéconomique</w:t>
      </w:r>
      <w:r w:rsidR="00BB10EC">
        <w:rPr>
          <w:rFonts w:ascii="Arial" w:hAnsi="Arial" w:cs="Arial"/>
          <w:b/>
          <w:lang w:val="fr-FR"/>
        </w:rPr>
        <w:t>.</w:t>
      </w:r>
    </w:p>
    <w:p w:rsidR="002872C6" w:rsidRDefault="002872C6" w:rsidP="00BE54ED">
      <w:pPr>
        <w:spacing w:after="0" w:line="259" w:lineRule="auto"/>
        <w:jc w:val="both"/>
        <w:rPr>
          <w:rFonts w:ascii="Arial" w:hAnsi="Arial" w:cs="Arial"/>
          <w:lang w:val="fr-FR"/>
        </w:rPr>
      </w:pPr>
    </w:p>
    <w:p w:rsidR="00FD4120" w:rsidRDefault="00EE4E44" w:rsidP="00BE54ED">
      <w:pPr>
        <w:spacing w:after="0" w:line="259" w:lineRule="auto"/>
        <w:jc w:val="both"/>
        <w:rPr>
          <w:rFonts w:ascii="Arial" w:hAnsi="Arial" w:cs="Arial"/>
          <w:lang w:val="fr-FR"/>
        </w:rPr>
      </w:pPr>
      <w:r>
        <w:rPr>
          <w:rFonts w:ascii="Arial" w:hAnsi="Arial" w:cs="Arial"/>
          <w:lang w:val="fr-FR"/>
        </w:rPr>
        <w:t xml:space="preserve">Après avoir </w:t>
      </w:r>
      <w:r w:rsidR="00756BAA">
        <w:rPr>
          <w:rFonts w:ascii="Arial" w:hAnsi="Arial" w:cs="Arial"/>
          <w:lang w:val="fr-FR"/>
        </w:rPr>
        <w:t>oscillé entre le 8</w:t>
      </w:r>
      <w:r w:rsidR="00756BAA" w:rsidRPr="00B03C0E">
        <w:rPr>
          <w:rFonts w:ascii="Arial" w:hAnsi="Arial" w:cs="Arial"/>
          <w:vertAlign w:val="superscript"/>
          <w:lang w:val="fr-FR"/>
        </w:rPr>
        <w:t>e</w:t>
      </w:r>
      <w:r w:rsidR="00756BAA">
        <w:rPr>
          <w:rFonts w:ascii="Arial" w:hAnsi="Arial" w:cs="Arial"/>
          <w:lang w:val="fr-FR"/>
        </w:rPr>
        <w:t xml:space="preserve"> et le 10</w:t>
      </w:r>
      <w:r w:rsidR="00756BAA" w:rsidRPr="00DD4658">
        <w:rPr>
          <w:rFonts w:ascii="Arial" w:hAnsi="Arial" w:cs="Arial"/>
          <w:vertAlign w:val="superscript"/>
          <w:lang w:val="fr-FR"/>
        </w:rPr>
        <w:t>e</w:t>
      </w:r>
      <w:r w:rsidR="00756BAA">
        <w:rPr>
          <w:rFonts w:ascii="Arial" w:hAnsi="Arial" w:cs="Arial"/>
          <w:lang w:val="fr-FR"/>
        </w:rPr>
        <w:t xml:space="preserve"> rang</w:t>
      </w:r>
      <w:r>
        <w:rPr>
          <w:rFonts w:ascii="Arial" w:hAnsi="Arial" w:cs="Arial"/>
          <w:lang w:val="fr-FR"/>
        </w:rPr>
        <w:t xml:space="preserve"> </w:t>
      </w:r>
      <w:r w:rsidR="00BB10EC">
        <w:rPr>
          <w:rFonts w:ascii="Arial" w:hAnsi="Arial" w:cs="Arial"/>
          <w:lang w:val="fr-FR"/>
        </w:rPr>
        <w:t>ces</w:t>
      </w:r>
      <w:r>
        <w:rPr>
          <w:rFonts w:ascii="Arial" w:hAnsi="Arial" w:cs="Arial"/>
          <w:lang w:val="fr-FR"/>
        </w:rPr>
        <w:t xml:space="preserve"> dernières années,</w:t>
      </w:r>
      <w:r w:rsidRPr="00EE4E44">
        <w:rPr>
          <w:rFonts w:ascii="Arial" w:hAnsi="Arial" w:cs="Arial"/>
          <w:lang w:val="fr-FR"/>
        </w:rPr>
        <w:t xml:space="preserve"> </w:t>
      </w:r>
      <w:r>
        <w:rPr>
          <w:rFonts w:ascii="Arial" w:hAnsi="Arial" w:cs="Arial"/>
          <w:lang w:val="fr-FR"/>
        </w:rPr>
        <w:t xml:space="preserve">le pilier ayant trait aux </w:t>
      </w:r>
      <w:r w:rsidRPr="00317333">
        <w:rPr>
          <w:rFonts w:ascii="Arial" w:hAnsi="Arial" w:cs="Arial"/>
          <w:b/>
          <w:lang w:val="fr-FR"/>
        </w:rPr>
        <w:t>institutions</w:t>
      </w:r>
      <w:r>
        <w:rPr>
          <w:rFonts w:ascii="Arial" w:hAnsi="Arial" w:cs="Arial"/>
          <w:lang w:val="fr-FR"/>
        </w:rPr>
        <w:t xml:space="preserve"> bénéficie d’une légère embe</w:t>
      </w:r>
      <w:r w:rsidR="00424A9D">
        <w:rPr>
          <w:rFonts w:ascii="Arial" w:hAnsi="Arial" w:cs="Arial"/>
          <w:lang w:val="fr-FR"/>
        </w:rPr>
        <w:t>llie dans l’édition 2014 du GCR</w:t>
      </w:r>
      <w:r w:rsidR="00B3262A">
        <w:rPr>
          <w:rFonts w:ascii="Arial" w:hAnsi="Arial" w:cs="Arial"/>
          <w:lang w:val="fr-FR"/>
        </w:rPr>
        <w:t xml:space="preserve">. Celle dernière s’explique notamment par </w:t>
      </w:r>
      <w:r w:rsidR="00BB10EC">
        <w:rPr>
          <w:rFonts w:ascii="Arial" w:hAnsi="Arial" w:cs="Arial"/>
          <w:lang w:val="fr-FR"/>
        </w:rPr>
        <w:t>une augmentation</w:t>
      </w:r>
      <w:r w:rsidR="00D515C5">
        <w:rPr>
          <w:rFonts w:ascii="Arial" w:hAnsi="Arial" w:cs="Arial"/>
          <w:lang w:val="fr-FR"/>
        </w:rPr>
        <w:t xml:space="preserve"> de l’indicateur reflétant</w:t>
      </w:r>
      <w:r w:rsidR="00B3262A">
        <w:rPr>
          <w:rFonts w:ascii="Arial" w:hAnsi="Arial" w:cs="Arial"/>
          <w:lang w:val="fr-FR"/>
        </w:rPr>
        <w:t xml:space="preserve"> la </w:t>
      </w:r>
      <w:r w:rsidR="00B3262A" w:rsidRPr="00860B45">
        <w:rPr>
          <w:rFonts w:ascii="Arial" w:hAnsi="Arial" w:cs="Arial"/>
          <w:lang w:val="fr-FR"/>
        </w:rPr>
        <w:t>confiance</w:t>
      </w:r>
      <w:r w:rsidR="00384E4B">
        <w:rPr>
          <w:rFonts w:ascii="Arial" w:hAnsi="Arial" w:cs="Arial"/>
          <w:lang w:val="fr-FR"/>
        </w:rPr>
        <w:t xml:space="preserve"> des </w:t>
      </w:r>
      <w:r w:rsidR="00F72E7A">
        <w:rPr>
          <w:rFonts w:ascii="Arial" w:hAnsi="Arial" w:cs="Arial"/>
          <w:lang w:val="fr-FR"/>
        </w:rPr>
        <w:t>chefs d’entreprise</w:t>
      </w:r>
      <w:r w:rsidR="00B3262A" w:rsidRPr="00860B45">
        <w:rPr>
          <w:rFonts w:ascii="Arial" w:hAnsi="Arial" w:cs="Arial"/>
          <w:lang w:val="fr-FR"/>
        </w:rPr>
        <w:t xml:space="preserve"> dans les politiques qui avance de 4 places</w:t>
      </w:r>
      <w:r w:rsidR="00BB10EC">
        <w:rPr>
          <w:rFonts w:ascii="Arial" w:hAnsi="Arial" w:cs="Arial"/>
          <w:lang w:val="fr-FR"/>
        </w:rPr>
        <w:t xml:space="preserve"> (7</w:t>
      </w:r>
      <w:r w:rsidR="00BB10EC" w:rsidRPr="00BB10EC">
        <w:rPr>
          <w:rFonts w:ascii="Arial" w:hAnsi="Arial" w:cs="Arial"/>
          <w:vertAlign w:val="superscript"/>
          <w:lang w:val="fr-FR"/>
        </w:rPr>
        <w:t>e</w:t>
      </w:r>
      <w:r w:rsidR="00BB10EC">
        <w:rPr>
          <w:rFonts w:ascii="Arial" w:hAnsi="Arial" w:cs="Arial"/>
          <w:lang w:val="fr-FR"/>
        </w:rPr>
        <w:t xml:space="preserve"> place)</w:t>
      </w:r>
      <w:r w:rsidR="00B3262A" w:rsidRPr="00860B45">
        <w:rPr>
          <w:rFonts w:ascii="Arial" w:hAnsi="Arial" w:cs="Arial"/>
          <w:lang w:val="fr-FR"/>
        </w:rPr>
        <w:t xml:space="preserve"> après sa chute </w:t>
      </w:r>
      <w:r w:rsidR="00266A1A">
        <w:rPr>
          <w:rFonts w:ascii="Arial" w:hAnsi="Arial" w:cs="Arial"/>
          <w:lang w:val="fr-FR"/>
        </w:rPr>
        <w:t>à</w:t>
      </w:r>
      <w:r w:rsidR="00860B45" w:rsidRPr="00860B45">
        <w:rPr>
          <w:rFonts w:ascii="Arial" w:hAnsi="Arial" w:cs="Arial"/>
          <w:lang w:val="fr-FR"/>
        </w:rPr>
        <w:t xml:space="preserve"> </w:t>
      </w:r>
      <w:r w:rsidR="00EB20EF">
        <w:rPr>
          <w:rFonts w:ascii="Arial" w:hAnsi="Arial" w:cs="Arial"/>
          <w:lang w:val="fr-FR"/>
        </w:rPr>
        <w:t xml:space="preserve">la </w:t>
      </w:r>
      <w:r w:rsidR="00B3262A" w:rsidRPr="00860B45">
        <w:rPr>
          <w:rFonts w:ascii="Arial" w:hAnsi="Arial" w:cs="Arial"/>
          <w:lang w:val="fr-FR"/>
        </w:rPr>
        <w:t>11</w:t>
      </w:r>
      <w:r w:rsidR="00B3262A" w:rsidRPr="00DD4658">
        <w:rPr>
          <w:rFonts w:ascii="Arial" w:hAnsi="Arial" w:cs="Arial"/>
          <w:vertAlign w:val="superscript"/>
          <w:lang w:val="fr-FR"/>
        </w:rPr>
        <w:t>e</w:t>
      </w:r>
      <w:r w:rsidR="00B3262A" w:rsidRPr="00860B45">
        <w:rPr>
          <w:rFonts w:ascii="Arial" w:hAnsi="Arial" w:cs="Arial"/>
          <w:lang w:val="fr-FR"/>
        </w:rPr>
        <w:t xml:space="preserve"> </w:t>
      </w:r>
      <w:r w:rsidR="00B03C0E">
        <w:rPr>
          <w:rFonts w:ascii="Arial" w:hAnsi="Arial" w:cs="Arial"/>
          <w:lang w:val="fr-FR"/>
        </w:rPr>
        <w:t>place l’année passée</w:t>
      </w:r>
      <w:r w:rsidR="00FD4120">
        <w:rPr>
          <w:rFonts w:ascii="Arial" w:hAnsi="Arial" w:cs="Arial"/>
          <w:lang w:val="fr-FR"/>
        </w:rPr>
        <w:t xml:space="preserve"> (</w:t>
      </w:r>
      <w:r w:rsidR="00D515C5">
        <w:rPr>
          <w:rFonts w:ascii="Arial" w:hAnsi="Arial" w:cs="Arial"/>
          <w:lang w:val="fr-FR"/>
        </w:rPr>
        <w:t xml:space="preserve">sous toile de fonds </w:t>
      </w:r>
      <w:r w:rsidR="00FD4120">
        <w:rPr>
          <w:rFonts w:ascii="Arial" w:hAnsi="Arial" w:cs="Arial"/>
          <w:lang w:val="fr-FR"/>
        </w:rPr>
        <w:t>d</w:t>
      </w:r>
      <w:r w:rsidR="00D515C5">
        <w:rPr>
          <w:rFonts w:ascii="Arial" w:hAnsi="Arial" w:cs="Arial"/>
          <w:lang w:val="fr-FR"/>
        </w:rPr>
        <w:t>’élections anticipées</w:t>
      </w:r>
      <w:r w:rsidR="00FD4120">
        <w:rPr>
          <w:rFonts w:ascii="Arial" w:hAnsi="Arial" w:cs="Arial"/>
          <w:lang w:val="fr-FR"/>
        </w:rPr>
        <w:t>) et</w:t>
      </w:r>
      <w:r w:rsidR="00B3262A" w:rsidRPr="00860B45">
        <w:rPr>
          <w:rFonts w:ascii="Arial" w:hAnsi="Arial" w:cs="Arial"/>
          <w:lang w:val="fr-FR"/>
        </w:rPr>
        <w:t xml:space="preserve"> </w:t>
      </w:r>
      <w:r w:rsidR="00FD4120">
        <w:rPr>
          <w:rFonts w:ascii="Arial" w:hAnsi="Arial" w:cs="Arial"/>
          <w:lang w:val="fr-FR"/>
        </w:rPr>
        <w:t>de l’indicateur mesurant le</w:t>
      </w:r>
      <w:r w:rsidR="00FD4120" w:rsidRPr="00860B45">
        <w:rPr>
          <w:rFonts w:ascii="Arial" w:hAnsi="Arial" w:cs="Arial"/>
          <w:lang w:val="fr-FR"/>
        </w:rPr>
        <w:t xml:space="preserve"> </w:t>
      </w:r>
      <w:r w:rsidR="00B3262A" w:rsidRPr="00860B45">
        <w:rPr>
          <w:rFonts w:ascii="Arial" w:hAnsi="Arial" w:cs="Arial"/>
          <w:lang w:val="fr-FR"/>
        </w:rPr>
        <w:t>poids</w:t>
      </w:r>
      <w:r w:rsidR="00FD4120">
        <w:rPr>
          <w:rFonts w:ascii="Arial" w:hAnsi="Arial" w:cs="Arial"/>
          <w:lang w:val="fr-FR"/>
        </w:rPr>
        <w:t xml:space="preserve"> ressenti</w:t>
      </w:r>
      <w:r w:rsidR="00B3262A" w:rsidRPr="00860B45">
        <w:rPr>
          <w:rFonts w:ascii="Arial" w:hAnsi="Arial" w:cs="Arial"/>
          <w:lang w:val="fr-FR"/>
        </w:rPr>
        <w:t xml:space="preserve"> de la rég</w:t>
      </w:r>
      <w:r w:rsidR="00CB13CA">
        <w:rPr>
          <w:rFonts w:ascii="Arial" w:hAnsi="Arial" w:cs="Arial"/>
          <w:lang w:val="fr-FR"/>
        </w:rPr>
        <w:t>lementation (+9 ;</w:t>
      </w:r>
      <w:r w:rsidR="00860B45" w:rsidRPr="00860B45">
        <w:rPr>
          <w:rFonts w:ascii="Arial" w:hAnsi="Arial" w:cs="Arial"/>
          <w:lang w:val="fr-FR"/>
        </w:rPr>
        <w:t xml:space="preserve"> </w:t>
      </w:r>
      <w:r w:rsidR="00CB13CA">
        <w:rPr>
          <w:rFonts w:ascii="Arial" w:hAnsi="Arial" w:cs="Arial"/>
          <w:lang w:val="fr-FR"/>
        </w:rPr>
        <w:t>9</w:t>
      </w:r>
      <w:r w:rsidR="00CB13CA" w:rsidRPr="00CB13CA">
        <w:rPr>
          <w:rFonts w:ascii="Arial" w:hAnsi="Arial" w:cs="Arial"/>
          <w:vertAlign w:val="superscript"/>
          <w:lang w:val="fr-FR"/>
        </w:rPr>
        <w:t>e</w:t>
      </w:r>
      <w:r w:rsidR="00CB13CA">
        <w:rPr>
          <w:rFonts w:ascii="Arial" w:hAnsi="Arial" w:cs="Arial"/>
          <w:lang w:val="fr-FR"/>
        </w:rPr>
        <w:t xml:space="preserve"> place</w:t>
      </w:r>
      <w:r w:rsidR="00860B45" w:rsidRPr="00860B45">
        <w:rPr>
          <w:rFonts w:ascii="Arial" w:hAnsi="Arial" w:cs="Arial"/>
          <w:lang w:val="fr-FR"/>
        </w:rPr>
        <w:t>)</w:t>
      </w:r>
      <w:r w:rsidR="00860B45">
        <w:rPr>
          <w:rFonts w:ascii="Arial" w:hAnsi="Arial" w:cs="Arial"/>
          <w:lang w:val="fr-FR"/>
        </w:rPr>
        <w:t>.</w:t>
      </w:r>
      <w:r w:rsidR="00424A9D">
        <w:rPr>
          <w:rFonts w:ascii="Arial" w:hAnsi="Arial" w:cs="Arial"/>
          <w:lang w:val="fr-FR"/>
        </w:rPr>
        <w:t xml:space="preserve"> </w:t>
      </w:r>
      <w:r w:rsidR="001F2817">
        <w:rPr>
          <w:rFonts w:ascii="Arial" w:hAnsi="Arial" w:cs="Arial"/>
          <w:lang w:val="fr-FR"/>
        </w:rPr>
        <w:t xml:space="preserve">Surtout </w:t>
      </w:r>
      <w:r w:rsidR="00FD4120">
        <w:rPr>
          <w:rFonts w:ascii="Arial" w:hAnsi="Arial" w:cs="Arial"/>
          <w:lang w:val="fr-FR"/>
        </w:rPr>
        <w:t>la remontée de ce dernier indicateur</w:t>
      </w:r>
      <w:r w:rsidR="00A0282C">
        <w:rPr>
          <w:rFonts w:ascii="Arial" w:hAnsi="Arial" w:cs="Arial"/>
          <w:lang w:val="fr-FR"/>
        </w:rPr>
        <w:t>,</w:t>
      </w:r>
      <w:r w:rsidR="008B77A9">
        <w:rPr>
          <w:rFonts w:ascii="Arial" w:hAnsi="Arial" w:cs="Arial"/>
          <w:lang w:val="fr-FR"/>
        </w:rPr>
        <w:t xml:space="preserve"> signe que les entrepreneurs luxembourgeois apprécient les velléités</w:t>
      </w:r>
      <w:r w:rsidR="00266A1A">
        <w:rPr>
          <w:rFonts w:ascii="Arial" w:hAnsi="Arial" w:cs="Arial"/>
          <w:lang w:val="fr-FR"/>
        </w:rPr>
        <w:t xml:space="preserve"> affichées</w:t>
      </w:r>
      <w:r w:rsidR="008B77A9">
        <w:rPr>
          <w:rFonts w:ascii="Arial" w:hAnsi="Arial" w:cs="Arial"/>
          <w:lang w:val="fr-FR"/>
        </w:rPr>
        <w:t xml:space="preserve"> en matière de simplification administrative,</w:t>
      </w:r>
      <w:r w:rsidR="001F2817">
        <w:rPr>
          <w:rFonts w:ascii="Arial" w:hAnsi="Arial" w:cs="Arial"/>
          <w:lang w:val="fr-FR"/>
        </w:rPr>
        <w:t xml:space="preserve"> devrait servir d’incitation au gouvernement de </w:t>
      </w:r>
      <w:r w:rsidR="008B77A9">
        <w:rPr>
          <w:rFonts w:ascii="Arial" w:hAnsi="Arial" w:cs="Arial"/>
          <w:lang w:val="fr-FR"/>
        </w:rPr>
        <w:t xml:space="preserve">faire avancer ce dossier d’importance cruciale. </w:t>
      </w:r>
    </w:p>
    <w:p w:rsidR="002872C6" w:rsidRDefault="002872C6" w:rsidP="00BE54ED">
      <w:pPr>
        <w:spacing w:after="0" w:line="259" w:lineRule="auto"/>
        <w:jc w:val="both"/>
        <w:rPr>
          <w:rFonts w:ascii="Arial" w:hAnsi="Arial" w:cs="Arial"/>
          <w:lang w:val="fr-FR"/>
        </w:rPr>
      </w:pPr>
    </w:p>
    <w:p w:rsidR="00CE507B" w:rsidRDefault="00424A9D" w:rsidP="00BE54ED">
      <w:pPr>
        <w:spacing w:after="0" w:line="259" w:lineRule="auto"/>
        <w:jc w:val="both"/>
        <w:rPr>
          <w:rFonts w:ascii="Arial" w:hAnsi="Arial" w:cs="Arial"/>
        </w:rPr>
      </w:pPr>
      <w:r>
        <w:rPr>
          <w:rFonts w:ascii="Arial" w:hAnsi="Arial" w:cs="Arial"/>
          <w:lang w:val="fr-FR"/>
        </w:rPr>
        <w:t>Selon les auteurs du GCR</w:t>
      </w:r>
      <w:r w:rsidR="00DD4658">
        <w:rPr>
          <w:rFonts w:ascii="Arial" w:hAnsi="Arial" w:cs="Arial"/>
          <w:lang w:val="fr-FR"/>
        </w:rPr>
        <w:t xml:space="preserve"> 2014, le pilier de </w:t>
      </w:r>
      <w:r w:rsidR="00EB20EF">
        <w:rPr>
          <w:rFonts w:ascii="Arial" w:hAnsi="Arial" w:cs="Arial"/>
          <w:lang w:val="fr-FR"/>
        </w:rPr>
        <w:t>l’</w:t>
      </w:r>
      <w:r w:rsidR="00EB20EF">
        <w:rPr>
          <w:rFonts w:ascii="Arial" w:hAnsi="Arial" w:cs="Arial"/>
          <w:b/>
          <w:lang w:val="fr-FR"/>
        </w:rPr>
        <w:t>environnement</w:t>
      </w:r>
      <w:r w:rsidR="00DD4658" w:rsidRPr="00317333">
        <w:rPr>
          <w:rFonts w:ascii="Arial" w:hAnsi="Arial" w:cs="Arial"/>
          <w:b/>
        </w:rPr>
        <w:t xml:space="preserve"> macroéconomique </w:t>
      </w:r>
      <w:r w:rsidR="00266A1A">
        <w:rPr>
          <w:rFonts w:ascii="Arial" w:hAnsi="Arial" w:cs="Arial"/>
        </w:rPr>
        <w:t xml:space="preserve">luxembourgeois </w:t>
      </w:r>
      <w:r w:rsidR="00DD4658">
        <w:rPr>
          <w:rFonts w:ascii="Arial" w:hAnsi="Arial" w:cs="Arial"/>
        </w:rPr>
        <w:t xml:space="preserve">mérite d’avancer de </w:t>
      </w:r>
      <w:r w:rsidR="002A3E61">
        <w:rPr>
          <w:rFonts w:ascii="Arial" w:hAnsi="Arial" w:cs="Arial"/>
        </w:rPr>
        <w:t>7 places</w:t>
      </w:r>
      <w:r w:rsidR="00183CF3">
        <w:rPr>
          <w:rFonts w:ascii="Arial" w:hAnsi="Arial" w:cs="Arial"/>
        </w:rPr>
        <w:t>. Gagnant 35</w:t>
      </w:r>
      <w:r w:rsidR="00CB13CA">
        <w:rPr>
          <w:rFonts w:ascii="Arial" w:hAnsi="Arial" w:cs="Arial"/>
        </w:rPr>
        <w:t xml:space="preserve"> places au niveau </w:t>
      </w:r>
      <w:r w:rsidR="00EB20EF">
        <w:rPr>
          <w:rFonts w:ascii="Arial" w:hAnsi="Arial" w:cs="Arial"/>
        </w:rPr>
        <w:t>de l’indicateur</w:t>
      </w:r>
      <w:r w:rsidR="00CB13CA">
        <w:rPr>
          <w:rFonts w:ascii="Arial" w:hAnsi="Arial" w:cs="Arial"/>
        </w:rPr>
        <w:t xml:space="preserve"> </w:t>
      </w:r>
      <w:r w:rsidR="00B30C13">
        <w:rPr>
          <w:rFonts w:ascii="Arial" w:hAnsi="Arial" w:cs="Arial"/>
        </w:rPr>
        <w:t>du solde budgétaire</w:t>
      </w:r>
      <w:r w:rsidR="00590B88">
        <w:rPr>
          <w:rFonts w:ascii="Arial" w:hAnsi="Arial" w:cs="Arial"/>
        </w:rPr>
        <w:t xml:space="preserve"> (22</w:t>
      </w:r>
      <w:r w:rsidR="00590B88" w:rsidRPr="00590B88">
        <w:rPr>
          <w:rFonts w:ascii="Arial" w:hAnsi="Arial" w:cs="Arial"/>
          <w:vertAlign w:val="superscript"/>
        </w:rPr>
        <w:t>e</w:t>
      </w:r>
      <w:r w:rsidR="00590B88">
        <w:rPr>
          <w:rFonts w:ascii="Arial" w:hAnsi="Arial" w:cs="Arial"/>
        </w:rPr>
        <w:t xml:space="preserve"> rang en 2014)</w:t>
      </w:r>
      <w:r w:rsidR="00B30C13">
        <w:rPr>
          <w:rFonts w:ascii="Arial" w:hAnsi="Arial" w:cs="Arial"/>
        </w:rPr>
        <w:t>, i</w:t>
      </w:r>
      <w:r w:rsidR="00CB13CA">
        <w:rPr>
          <w:rFonts w:ascii="Arial" w:hAnsi="Arial" w:cs="Arial"/>
        </w:rPr>
        <w:t>l</w:t>
      </w:r>
      <w:r w:rsidR="00B30C13">
        <w:rPr>
          <w:rFonts w:ascii="Arial" w:hAnsi="Arial" w:cs="Arial"/>
        </w:rPr>
        <w:t xml:space="preserve"> parvient à renouer</w:t>
      </w:r>
      <w:r w:rsidR="00CB13CA">
        <w:rPr>
          <w:rFonts w:ascii="Arial" w:hAnsi="Arial" w:cs="Arial"/>
        </w:rPr>
        <w:t xml:space="preserve"> avec</w:t>
      </w:r>
      <w:r w:rsidR="002A3E61">
        <w:rPr>
          <w:rFonts w:ascii="Arial" w:hAnsi="Arial" w:cs="Arial"/>
        </w:rPr>
        <w:t xml:space="preserve"> son positionnement de 2010 (9</w:t>
      </w:r>
      <w:r w:rsidR="002A3E61" w:rsidRPr="002A3E61">
        <w:rPr>
          <w:rFonts w:ascii="Arial" w:hAnsi="Arial" w:cs="Arial"/>
          <w:vertAlign w:val="superscript"/>
        </w:rPr>
        <w:t>e</w:t>
      </w:r>
      <w:r w:rsidR="00CB13CA" w:rsidRPr="00CB13CA">
        <w:rPr>
          <w:rFonts w:ascii="Arial" w:hAnsi="Arial" w:cs="Arial"/>
        </w:rPr>
        <w:t xml:space="preserve"> </w:t>
      </w:r>
      <w:r w:rsidR="00CB13CA">
        <w:rPr>
          <w:rFonts w:ascii="Arial" w:hAnsi="Arial" w:cs="Arial"/>
        </w:rPr>
        <w:t>place</w:t>
      </w:r>
      <w:r w:rsidR="00B30C13">
        <w:rPr>
          <w:rFonts w:ascii="Arial" w:hAnsi="Arial" w:cs="Arial"/>
        </w:rPr>
        <w:t>).</w:t>
      </w:r>
    </w:p>
    <w:p w:rsidR="009B737F" w:rsidRPr="00DD4658" w:rsidRDefault="009B737F" w:rsidP="00BE54ED">
      <w:pPr>
        <w:spacing w:after="0" w:line="259" w:lineRule="auto"/>
        <w:jc w:val="both"/>
        <w:rPr>
          <w:rFonts w:ascii="Arial" w:hAnsi="Arial" w:cs="Arial"/>
          <w:lang w:val="fr-FR"/>
        </w:rPr>
      </w:pPr>
    </w:p>
    <w:p w:rsidR="00775CF2" w:rsidRDefault="00646CCE" w:rsidP="00BE54ED">
      <w:pPr>
        <w:spacing w:after="0" w:line="259" w:lineRule="auto"/>
        <w:jc w:val="both"/>
        <w:rPr>
          <w:rFonts w:ascii="Arial" w:hAnsi="Arial" w:cs="Arial"/>
          <w:lang w:val="fr-FR"/>
        </w:rPr>
      </w:pPr>
      <w:r>
        <w:rPr>
          <w:rFonts w:ascii="Arial" w:hAnsi="Arial" w:cs="Arial"/>
          <w:lang w:val="fr-FR"/>
        </w:rPr>
        <w:t xml:space="preserve">En même temps, </w:t>
      </w:r>
      <w:r w:rsidR="00EB20EF">
        <w:rPr>
          <w:rFonts w:ascii="Arial" w:hAnsi="Arial" w:cs="Arial"/>
          <w:lang w:val="fr-FR"/>
        </w:rPr>
        <w:t>faut-il constater la</w:t>
      </w:r>
      <w:r>
        <w:rPr>
          <w:rFonts w:ascii="Arial" w:hAnsi="Arial" w:cs="Arial"/>
          <w:lang w:val="fr-FR"/>
        </w:rPr>
        <w:t xml:space="preserve"> perte de </w:t>
      </w:r>
      <w:r w:rsidR="00F86C7E">
        <w:rPr>
          <w:rFonts w:ascii="Arial" w:hAnsi="Arial" w:cs="Arial"/>
          <w:lang w:val="fr-FR"/>
        </w:rPr>
        <w:t>3</w:t>
      </w:r>
      <w:r>
        <w:rPr>
          <w:rFonts w:ascii="Arial" w:hAnsi="Arial" w:cs="Arial"/>
          <w:lang w:val="fr-FR"/>
        </w:rPr>
        <w:t xml:space="preserve"> positions au niveau des </w:t>
      </w:r>
      <w:r w:rsidRPr="00646CCE">
        <w:rPr>
          <w:rFonts w:ascii="Arial" w:hAnsi="Arial" w:cs="Arial"/>
          <w:b/>
          <w:lang w:val="fr-FR"/>
        </w:rPr>
        <w:t>infrastructures</w:t>
      </w:r>
      <w:r w:rsidR="00590B88">
        <w:rPr>
          <w:rFonts w:ascii="Arial" w:hAnsi="Arial" w:cs="Arial"/>
          <w:lang w:val="fr-FR"/>
        </w:rPr>
        <w:t>, qui comprend notamment, mais pas exclusivement, des indicateurs permettant de mesurer la qualité des infrastructures de transport (infrastructures routières, ferroviaires, portuaires et aéroportuaires)</w:t>
      </w:r>
      <w:r w:rsidR="00DD19B9">
        <w:rPr>
          <w:rFonts w:ascii="Arial" w:hAnsi="Arial" w:cs="Arial"/>
          <w:lang w:val="fr-FR"/>
        </w:rPr>
        <w:t xml:space="preserve">. </w:t>
      </w:r>
      <w:r w:rsidR="00FD4120">
        <w:rPr>
          <w:rFonts w:ascii="Arial" w:hAnsi="Arial" w:cs="Arial"/>
          <w:lang w:val="fr-FR"/>
        </w:rPr>
        <w:t xml:space="preserve">Au </w:t>
      </w:r>
      <w:r w:rsidR="00DD19B9">
        <w:rPr>
          <w:rFonts w:ascii="Arial" w:hAnsi="Arial" w:cs="Arial"/>
          <w:lang w:val="fr-FR"/>
        </w:rPr>
        <w:t>vu notamment du plan sectori</w:t>
      </w:r>
      <w:r w:rsidR="005E6865">
        <w:rPr>
          <w:rFonts w:ascii="Arial" w:hAnsi="Arial" w:cs="Arial"/>
          <w:lang w:val="fr-FR"/>
        </w:rPr>
        <w:t>el « Transports »</w:t>
      </w:r>
      <w:r w:rsidR="00FD4120">
        <w:rPr>
          <w:rFonts w:ascii="Arial" w:hAnsi="Arial" w:cs="Arial"/>
          <w:lang w:val="fr-FR"/>
        </w:rPr>
        <w:t>,</w:t>
      </w:r>
      <w:r w:rsidR="005E6865">
        <w:rPr>
          <w:rFonts w:ascii="Arial" w:hAnsi="Arial" w:cs="Arial"/>
          <w:lang w:val="fr-FR"/>
        </w:rPr>
        <w:t xml:space="preserve"> visant à réaliser des grands projets d’infrastructures afin d’améliorer la qualité </w:t>
      </w:r>
      <w:r w:rsidR="00590B88">
        <w:rPr>
          <w:rFonts w:ascii="Arial" w:hAnsi="Arial" w:cs="Arial"/>
          <w:lang w:val="fr-FR"/>
        </w:rPr>
        <w:t>de la mobilité</w:t>
      </w:r>
      <w:r w:rsidR="005E6865">
        <w:rPr>
          <w:rFonts w:ascii="Arial" w:hAnsi="Arial" w:cs="Arial"/>
          <w:lang w:val="fr-FR"/>
        </w:rPr>
        <w:t xml:space="preserve"> au Luxembourg, ce pilier</w:t>
      </w:r>
      <w:r w:rsidR="00B219FC">
        <w:rPr>
          <w:rFonts w:ascii="Arial" w:hAnsi="Arial" w:cs="Arial"/>
          <w:lang w:val="fr-FR"/>
        </w:rPr>
        <w:t xml:space="preserve"> pourra</w:t>
      </w:r>
      <w:r w:rsidR="005E6865">
        <w:rPr>
          <w:rFonts w:ascii="Arial" w:hAnsi="Arial" w:cs="Arial"/>
          <w:lang w:val="fr-FR"/>
        </w:rPr>
        <w:t xml:space="preserve"> </w:t>
      </w:r>
      <w:r w:rsidR="00B219FC">
        <w:rPr>
          <w:rFonts w:ascii="Arial" w:hAnsi="Arial" w:cs="Arial"/>
          <w:lang w:val="fr-FR"/>
        </w:rPr>
        <w:t xml:space="preserve">certainement afficher une belle marge de progression </w:t>
      </w:r>
      <w:r w:rsidR="00673DC3">
        <w:rPr>
          <w:rFonts w:ascii="Arial" w:hAnsi="Arial" w:cs="Arial"/>
          <w:lang w:val="fr-FR"/>
        </w:rPr>
        <w:t xml:space="preserve">à moyen </w:t>
      </w:r>
      <w:r w:rsidR="00B219FC">
        <w:rPr>
          <w:rFonts w:ascii="Arial" w:hAnsi="Arial" w:cs="Arial"/>
          <w:lang w:val="fr-FR"/>
        </w:rPr>
        <w:t>et à long termes.</w:t>
      </w:r>
    </w:p>
    <w:p w:rsidR="002872C6" w:rsidRDefault="002872C6" w:rsidP="00BE54ED">
      <w:pPr>
        <w:spacing w:after="0" w:line="259" w:lineRule="auto"/>
        <w:rPr>
          <w:rFonts w:ascii="Arial" w:hAnsi="Arial" w:cs="Arial"/>
        </w:rPr>
      </w:pPr>
    </w:p>
    <w:p w:rsidR="009B737F" w:rsidRDefault="002D1AC8" w:rsidP="00BE54ED">
      <w:pPr>
        <w:spacing w:after="0" w:line="259" w:lineRule="auto"/>
        <w:rPr>
          <w:rFonts w:ascii="Arial" w:hAnsi="Arial" w:cs="Arial"/>
        </w:rPr>
      </w:pPr>
      <w:r>
        <w:rPr>
          <w:rFonts w:ascii="Arial" w:hAnsi="Arial" w:cs="Arial"/>
        </w:rPr>
        <w:t>Alors que le</w:t>
      </w:r>
      <w:r w:rsidR="002D5601">
        <w:rPr>
          <w:rFonts w:ascii="Arial" w:hAnsi="Arial" w:cs="Arial"/>
        </w:rPr>
        <w:t xml:space="preserve"> pilier de la </w:t>
      </w:r>
      <w:r w:rsidR="002D5601" w:rsidRPr="00222518">
        <w:rPr>
          <w:rFonts w:ascii="Arial" w:hAnsi="Arial" w:cs="Arial"/>
          <w:b/>
        </w:rPr>
        <w:t>santé et l’enseignement primaire</w:t>
      </w:r>
      <w:r w:rsidR="002D5601">
        <w:rPr>
          <w:rFonts w:ascii="Arial" w:hAnsi="Arial" w:cs="Arial"/>
        </w:rPr>
        <w:t xml:space="preserve"> reste inchangé (</w:t>
      </w:r>
      <w:r>
        <w:rPr>
          <w:rFonts w:ascii="Arial" w:hAnsi="Arial" w:cs="Arial"/>
        </w:rPr>
        <w:t>36</w:t>
      </w:r>
      <w:r w:rsidRPr="002D1AC8">
        <w:rPr>
          <w:rFonts w:ascii="Arial" w:hAnsi="Arial" w:cs="Arial"/>
          <w:vertAlign w:val="superscript"/>
        </w:rPr>
        <w:t>e</w:t>
      </w:r>
      <w:r>
        <w:rPr>
          <w:rFonts w:ascii="Arial" w:hAnsi="Arial" w:cs="Arial"/>
        </w:rPr>
        <w:t xml:space="preserve"> place)</w:t>
      </w:r>
      <w:r w:rsidR="006B2781">
        <w:rPr>
          <w:rFonts w:ascii="Arial" w:hAnsi="Arial" w:cs="Arial"/>
        </w:rPr>
        <w:t xml:space="preserve"> pour cette année</w:t>
      </w:r>
      <w:r>
        <w:rPr>
          <w:rFonts w:ascii="Arial" w:hAnsi="Arial" w:cs="Arial"/>
        </w:rPr>
        <w:t>, il a vu un recul</w:t>
      </w:r>
      <w:r w:rsidR="00FD4120">
        <w:rPr>
          <w:rFonts w:ascii="Arial" w:hAnsi="Arial" w:cs="Arial"/>
        </w:rPr>
        <w:t xml:space="preserve"> appréciable</w:t>
      </w:r>
      <w:r w:rsidR="006B2781">
        <w:rPr>
          <w:rFonts w:ascii="Arial" w:hAnsi="Arial" w:cs="Arial"/>
        </w:rPr>
        <w:t xml:space="preserve"> depuis 2010 (27</w:t>
      </w:r>
      <w:r w:rsidR="006B2781" w:rsidRPr="006B2781">
        <w:rPr>
          <w:rFonts w:ascii="Arial" w:hAnsi="Arial" w:cs="Arial"/>
          <w:vertAlign w:val="superscript"/>
        </w:rPr>
        <w:t>e</w:t>
      </w:r>
      <w:r w:rsidR="006B2781">
        <w:rPr>
          <w:rFonts w:ascii="Arial" w:hAnsi="Arial" w:cs="Arial"/>
        </w:rPr>
        <w:t xml:space="preserve"> place)</w:t>
      </w:r>
      <w:r w:rsidR="002D5601">
        <w:rPr>
          <w:rFonts w:ascii="Arial" w:hAnsi="Arial" w:cs="Arial"/>
        </w:rPr>
        <w:t>.</w:t>
      </w:r>
    </w:p>
    <w:p w:rsidR="009B737F" w:rsidRDefault="009B737F" w:rsidP="00BE54ED">
      <w:pPr>
        <w:spacing w:after="0" w:line="259" w:lineRule="auto"/>
        <w:rPr>
          <w:rFonts w:ascii="Arial" w:hAnsi="Arial" w:cs="Arial"/>
        </w:rPr>
      </w:pPr>
    </w:p>
    <w:p w:rsidR="00060577" w:rsidRDefault="00060577" w:rsidP="00BE54ED">
      <w:pPr>
        <w:spacing w:after="0" w:line="259" w:lineRule="auto"/>
        <w:rPr>
          <w:rFonts w:ascii="Arial" w:hAnsi="Arial" w:cs="Arial"/>
          <w:b/>
          <w:szCs w:val="20"/>
          <w:highlight w:val="magenta"/>
        </w:rPr>
      </w:pPr>
      <w:r>
        <w:rPr>
          <w:rFonts w:ascii="Arial" w:hAnsi="Arial" w:cs="Arial"/>
          <w:b/>
          <w:szCs w:val="20"/>
        </w:rPr>
        <w:lastRenderedPageBreak/>
        <w:t>FACTEURS D’EFFICACITE</w:t>
      </w:r>
      <w:r w:rsidRPr="00E17EE3">
        <w:rPr>
          <w:rFonts w:ascii="Arial" w:hAnsi="Arial" w:cs="Arial"/>
          <w:b/>
          <w:szCs w:val="20"/>
          <w:highlight w:val="magenta"/>
        </w:rPr>
        <w:br/>
      </w:r>
      <w:r w:rsidR="006F044B" w:rsidRPr="006F044B">
        <w:rPr>
          <w:rFonts w:ascii="Arial" w:hAnsi="Arial" w:cs="Arial"/>
          <w:b/>
          <w:szCs w:val="20"/>
        </w:rPr>
        <w:t>Aptitude</w:t>
      </w:r>
      <w:r w:rsidR="00826692">
        <w:rPr>
          <w:rFonts w:ascii="Arial" w:hAnsi="Arial" w:cs="Arial"/>
          <w:b/>
          <w:szCs w:val="20"/>
        </w:rPr>
        <w:t>s</w:t>
      </w:r>
      <w:r w:rsidR="006F044B" w:rsidRPr="006F044B">
        <w:rPr>
          <w:rFonts w:ascii="Arial" w:hAnsi="Arial" w:cs="Arial"/>
          <w:b/>
          <w:szCs w:val="20"/>
        </w:rPr>
        <w:t xml:space="preserve"> technologique</w:t>
      </w:r>
      <w:r w:rsidR="00BB5DB3">
        <w:rPr>
          <w:rFonts w:ascii="Arial" w:hAnsi="Arial" w:cs="Arial"/>
          <w:b/>
          <w:szCs w:val="20"/>
        </w:rPr>
        <w:t>s</w:t>
      </w:r>
      <w:r w:rsidR="00DD2114">
        <w:rPr>
          <w:rFonts w:ascii="Arial" w:hAnsi="Arial" w:cs="Arial"/>
          <w:b/>
          <w:szCs w:val="20"/>
        </w:rPr>
        <w:t> :</w:t>
      </w:r>
      <w:r w:rsidR="006F044B" w:rsidRPr="006F044B">
        <w:rPr>
          <w:rFonts w:ascii="Arial" w:hAnsi="Arial" w:cs="Arial"/>
          <w:b/>
          <w:szCs w:val="20"/>
        </w:rPr>
        <w:t xml:space="preserve"> </w:t>
      </w:r>
      <w:r w:rsidR="00590B88">
        <w:rPr>
          <w:rFonts w:ascii="Arial" w:hAnsi="Arial" w:cs="Arial"/>
          <w:b/>
          <w:szCs w:val="20"/>
        </w:rPr>
        <w:t>le</w:t>
      </w:r>
      <w:r w:rsidR="00B219FC">
        <w:rPr>
          <w:rFonts w:ascii="Arial" w:hAnsi="Arial" w:cs="Arial"/>
          <w:b/>
          <w:szCs w:val="20"/>
        </w:rPr>
        <w:t xml:space="preserve"> </w:t>
      </w:r>
      <w:r w:rsidR="003F2212">
        <w:rPr>
          <w:rFonts w:ascii="Arial" w:hAnsi="Arial" w:cs="Arial"/>
          <w:b/>
          <w:szCs w:val="20"/>
        </w:rPr>
        <w:t xml:space="preserve">gros lot </w:t>
      </w:r>
      <w:r w:rsidR="00590B88">
        <w:rPr>
          <w:rFonts w:ascii="Arial" w:hAnsi="Arial" w:cs="Arial"/>
          <w:b/>
          <w:szCs w:val="20"/>
        </w:rPr>
        <w:t>remporté par le Luxembourg</w:t>
      </w:r>
    </w:p>
    <w:p w:rsidR="003F2212" w:rsidRPr="003F2212" w:rsidRDefault="003F2212" w:rsidP="00BE54ED">
      <w:pPr>
        <w:spacing w:after="0" w:line="259" w:lineRule="auto"/>
        <w:rPr>
          <w:rFonts w:ascii="Arial" w:hAnsi="Arial" w:cs="Arial"/>
          <w:b/>
          <w:szCs w:val="20"/>
          <w:highlight w:val="magenta"/>
        </w:rPr>
      </w:pPr>
    </w:p>
    <w:p w:rsidR="00B20E28" w:rsidRPr="00B64926" w:rsidRDefault="00982584" w:rsidP="00BE54ED">
      <w:pPr>
        <w:spacing w:after="0" w:line="259" w:lineRule="auto"/>
        <w:jc w:val="both"/>
        <w:rPr>
          <w:rFonts w:ascii="Arial" w:hAnsi="Arial" w:cs="Arial"/>
          <w:b/>
        </w:rPr>
      </w:pPr>
      <w:r>
        <w:rPr>
          <w:rFonts w:ascii="Arial" w:hAnsi="Arial" w:cs="Arial"/>
          <w:b/>
          <w:noProof/>
          <w:lang w:val="en-US"/>
        </w:rPr>
        <w:drawing>
          <wp:anchor distT="0" distB="0" distL="114300" distR="114300" simplePos="0" relativeHeight="251675648" behindDoc="0" locked="0" layoutInCell="1" allowOverlap="1">
            <wp:simplePos x="0" y="0"/>
            <wp:positionH relativeFrom="column">
              <wp:posOffset>2557234</wp:posOffset>
            </wp:positionH>
            <wp:positionV relativeFrom="paragraph">
              <wp:posOffset>98591</wp:posOffset>
            </wp:positionV>
            <wp:extent cx="3323855" cy="1148316"/>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323855" cy="1148316"/>
                    </a:xfrm>
                    <a:prstGeom prst="rect">
                      <a:avLst/>
                    </a:prstGeom>
                    <a:noFill/>
                    <a:ln w="9525">
                      <a:noFill/>
                      <a:miter lim="800000"/>
                      <a:headEnd/>
                      <a:tailEnd/>
                    </a:ln>
                  </pic:spPr>
                </pic:pic>
              </a:graphicData>
            </a:graphic>
          </wp:anchor>
        </w:drawing>
      </w:r>
      <w:r w:rsidR="00B64926" w:rsidRPr="00B64926">
        <w:rPr>
          <w:noProof/>
          <w:lang w:val="lb-LU" w:eastAsia="lb-LU"/>
        </w:rPr>
        <w:t xml:space="preserve"> </w:t>
      </w:r>
      <w:r w:rsidR="00B64926" w:rsidRPr="00B64926">
        <w:rPr>
          <w:rFonts w:ascii="Arial" w:hAnsi="Arial" w:cs="Arial"/>
          <w:b/>
          <w:noProof/>
          <w:lang w:val="en-US"/>
        </w:rPr>
        <w:drawing>
          <wp:inline distT="0" distB="0" distL="0" distR="0">
            <wp:extent cx="2315210" cy="1352550"/>
            <wp:effectExtent l="19050" t="0" r="2794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72C6" w:rsidRDefault="002872C6" w:rsidP="00BE54ED">
      <w:pPr>
        <w:spacing w:after="0" w:line="259" w:lineRule="auto"/>
        <w:jc w:val="both"/>
        <w:rPr>
          <w:rFonts w:ascii="Arial" w:hAnsi="Arial" w:cs="Arial"/>
          <w:b/>
          <w:lang w:val="fr-FR"/>
        </w:rPr>
      </w:pPr>
    </w:p>
    <w:p w:rsidR="00DD2114" w:rsidRDefault="003D1F41" w:rsidP="00BE54ED">
      <w:pPr>
        <w:spacing w:after="0" w:line="259" w:lineRule="auto"/>
        <w:jc w:val="both"/>
        <w:rPr>
          <w:rFonts w:ascii="Arial" w:hAnsi="Arial" w:cs="Arial"/>
          <w:b/>
          <w:lang w:val="fr-FR"/>
        </w:rPr>
      </w:pPr>
      <w:r w:rsidRPr="00826692">
        <w:rPr>
          <w:rFonts w:ascii="Arial" w:hAnsi="Arial" w:cs="Arial"/>
          <w:b/>
          <w:lang w:val="fr-FR"/>
        </w:rPr>
        <w:t>Depuis son</w:t>
      </w:r>
      <w:r w:rsidR="00590B88">
        <w:rPr>
          <w:rFonts w:ascii="Arial" w:hAnsi="Arial" w:cs="Arial"/>
          <w:b/>
          <w:lang w:val="fr-FR"/>
        </w:rPr>
        <w:t xml:space="preserve"> meilleur</w:t>
      </w:r>
      <w:r w:rsidRPr="00826692">
        <w:rPr>
          <w:rFonts w:ascii="Arial" w:hAnsi="Arial" w:cs="Arial"/>
          <w:b/>
          <w:lang w:val="fr-FR"/>
        </w:rPr>
        <w:t xml:space="preserve"> positionnement en tant que </w:t>
      </w:r>
      <w:r w:rsidR="00AE4D70" w:rsidRPr="00826692">
        <w:rPr>
          <w:rFonts w:ascii="Arial" w:hAnsi="Arial" w:cs="Arial"/>
          <w:b/>
          <w:lang w:val="fr-FR"/>
        </w:rPr>
        <w:t>20</w:t>
      </w:r>
      <w:r w:rsidRPr="00826692">
        <w:rPr>
          <w:rFonts w:ascii="Arial" w:hAnsi="Arial" w:cs="Arial"/>
          <w:b/>
          <w:vertAlign w:val="superscript"/>
          <w:lang w:val="fr-FR"/>
        </w:rPr>
        <w:t>e</w:t>
      </w:r>
      <w:r w:rsidR="00424A9D" w:rsidRPr="00826692">
        <w:rPr>
          <w:rFonts w:ascii="Arial" w:hAnsi="Arial" w:cs="Arial"/>
          <w:b/>
          <w:lang w:val="fr-FR"/>
        </w:rPr>
        <w:t xml:space="preserve"> pays dans le classement GCR</w:t>
      </w:r>
      <w:r w:rsidRPr="00826692">
        <w:rPr>
          <w:rFonts w:ascii="Arial" w:hAnsi="Arial" w:cs="Arial"/>
          <w:b/>
          <w:lang w:val="fr-FR"/>
        </w:rPr>
        <w:t xml:space="preserve"> 2010, </w:t>
      </w:r>
      <w:r w:rsidR="00DD2114">
        <w:rPr>
          <w:rFonts w:ascii="Arial" w:hAnsi="Arial" w:cs="Arial"/>
          <w:b/>
          <w:lang w:val="fr-FR"/>
        </w:rPr>
        <w:t>le sous-indice</w:t>
      </w:r>
      <w:r w:rsidR="00DD2114" w:rsidRPr="00826692">
        <w:rPr>
          <w:rFonts w:ascii="Arial" w:hAnsi="Arial" w:cs="Arial"/>
          <w:b/>
          <w:lang w:val="fr-FR"/>
        </w:rPr>
        <w:t xml:space="preserve"> </w:t>
      </w:r>
      <w:r w:rsidRPr="00826692">
        <w:rPr>
          <w:rFonts w:ascii="Arial" w:hAnsi="Arial" w:cs="Arial"/>
          <w:b/>
          <w:lang w:val="fr-FR"/>
        </w:rPr>
        <w:t>des facteurs d</w:t>
      </w:r>
      <w:r w:rsidR="00DD2114">
        <w:rPr>
          <w:rFonts w:ascii="Arial" w:hAnsi="Arial" w:cs="Arial"/>
          <w:b/>
          <w:lang w:val="fr-FR"/>
        </w:rPr>
        <w:t>’</w:t>
      </w:r>
      <w:r w:rsidRPr="00826692">
        <w:rPr>
          <w:rFonts w:ascii="Arial" w:hAnsi="Arial" w:cs="Arial"/>
          <w:b/>
          <w:lang w:val="fr-FR"/>
        </w:rPr>
        <w:t xml:space="preserve">efficacité </w:t>
      </w:r>
      <w:r w:rsidR="00956200" w:rsidRPr="00826692">
        <w:rPr>
          <w:rFonts w:ascii="Arial" w:hAnsi="Arial" w:cs="Arial"/>
          <w:b/>
          <w:lang w:val="fr-FR"/>
        </w:rPr>
        <w:t xml:space="preserve">a du mal à </w:t>
      </w:r>
      <w:r w:rsidR="003E599F" w:rsidRPr="00826692">
        <w:rPr>
          <w:rFonts w:ascii="Arial" w:hAnsi="Arial" w:cs="Arial"/>
          <w:b/>
          <w:lang w:val="fr-FR"/>
        </w:rPr>
        <w:t xml:space="preserve">avancer, </w:t>
      </w:r>
      <w:r w:rsidR="00DD2114">
        <w:rPr>
          <w:rFonts w:ascii="Arial" w:hAnsi="Arial" w:cs="Arial"/>
          <w:b/>
          <w:lang w:val="fr-FR"/>
        </w:rPr>
        <w:t>s’enlisant</w:t>
      </w:r>
      <w:r w:rsidR="00DD2114" w:rsidRPr="00826692">
        <w:rPr>
          <w:rFonts w:ascii="Arial" w:hAnsi="Arial" w:cs="Arial"/>
          <w:b/>
          <w:lang w:val="fr-FR"/>
        </w:rPr>
        <w:t xml:space="preserve"> </w:t>
      </w:r>
      <w:r w:rsidR="00B219FC">
        <w:rPr>
          <w:rFonts w:ascii="Arial" w:hAnsi="Arial" w:cs="Arial"/>
          <w:b/>
          <w:lang w:val="fr-FR"/>
        </w:rPr>
        <w:t>à</w:t>
      </w:r>
      <w:r w:rsidR="00B219FC" w:rsidRPr="00826692">
        <w:rPr>
          <w:rFonts w:ascii="Arial" w:hAnsi="Arial" w:cs="Arial"/>
          <w:b/>
          <w:lang w:val="fr-FR"/>
        </w:rPr>
        <w:t xml:space="preserve"> </w:t>
      </w:r>
      <w:r w:rsidR="003E599F" w:rsidRPr="00826692">
        <w:rPr>
          <w:rFonts w:ascii="Arial" w:hAnsi="Arial" w:cs="Arial"/>
          <w:b/>
          <w:lang w:val="fr-FR"/>
        </w:rPr>
        <w:t>la 22</w:t>
      </w:r>
      <w:r w:rsidR="00A84CEA">
        <w:rPr>
          <w:rFonts w:ascii="Arial" w:hAnsi="Arial" w:cs="Arial"/>
          <w:b/>
          <w:vertAlign w:val="superscript"/>
          <w:lang w:val="fr-FR"/>
        </w:rPr>
        <w:t>e</w:t>
      </w:r>
      <w:r w:rsidR="003E599F" w:rsidRPr="00826692">
        <w:rPr>
          <w:rFonts w:ascii="Arial" w:hAnsi="Arial" w:cs="Arial"/>
          <w:b/>
          <w:lang w:val="fr-FR"/>
        </w:rPr>
        <w:t xml:space="preserve"> place</w:t>
      </w:r>
      <w:r w:rsidR="00DD2114">
        <w:rPr>
          <w:rFonts w:ascii="Arial" w:hAnsi="Arial" w:cs="Arial"/>
          <w:b/>
          <w:lang w:val="fr-FR"/>
        </w:rPr>
        <w:t>.</w:t>
      </w:r>
    </w:p>
    <w:p w:rsidR="002872C6" w:rsidRDefault="002872C6" w:rsidP="00BE54ED">
      <w:pPr>
        <w:spacing w:after="0" w:line="259" w:lineRule="auto"/>
        <w:jc w:val="both"/>
        <w:rPr>
          <w:rFonts w:ascii="Arial" w:hAnsi="Arial" w:cs="Arial"/>
          <w:lang w:val="fr-FR"/>
        </w:rPr>
      </w:pPr>
    </w:p>
    <w:p w:rsidR="003E599F" w:rsidRPr="00826692" w:rsidRDefault="003E599F" w:rsidP="00BE54ED">
      <w:pPr>
        <w:spacing w:after="0" w:line="259" w:lineRule="auto"/>
        <w:jc w:val="both"/>
        <w:rPr>
          <w:rFonts w:ascii="Arial" w:hAnsi="Arial" w:cs="Arial"/>
          <w:b/>
          <w:lang w:val="fr-FR"/>
        </w:rPr>
      </w:pPr>
      <w:r w:rsidRPr="00575214">
        <w:rPr>
          <w:rFonts w:ascii="Arial" w:hAnsi="Arial" w:cs="Arial"/>
          <w:lang w:val="fr-FR"/>
        </w:rPr>
        <w:t xml:space="preserve">Bien </w:t>
      </w:r>
      <w:r w:rsidR="00F92FA6">
        <w:rPr>
          <w:rFonts w:ascii="Arial" w:hAnsi="Arial" w:cs="Arial"/>
          <w:lang w:val="fr-FR"/>
        </w:rPr>
        <w:t xml:space="preserve">que </w:t>
      </w:r>
      <w:r w:rsidR="007A2BF4" w:rsidRPr="00575214">
        <w:rPr>
          <w:rFonts w:ascii="Arial" w:hAnsi="Arial" w:cs="Arial"/>
          <w:lang w:val="fr-FR"/>
        </w:rPr>
        <w:t xml:space="preserve">cette </w:t>
      </w:r>
      <w:r w:rsidR="00B219FC">
        <w:rPr>
          <w:rFonts w:ascii="Arial" w:hAnsi="Arial" w:cs="Arial"/>
          <w:lang w:val="fr-FR"/>
        </w:rPr>
        <w:t>évolution</w:t>
      </w:r>
      <w:r w:rsidR="00B219FC" w:rsidRPr="00575214">
        <w:rPr>
          <w:rFonts w:ascii="Arial" w:hAnsi="Arial" w:cs="Arial"/>
          <w:lang w:val="fr-FR"/>
        </w:rPr>
        <w:t xml:space="preserve"> </w:t>
      </w:r>
      <w:r w:rsidRPr="00575214">
        <w:rPr>
          <w:rFonts w:ascii="Arial" w:hAnsi="Arial" w:cs="Arial"/>
          <w:lang w:val="fr-FR"/>
        </w:rPr>
        <w:t>du Luxembourg</w:t>
      </w:r>
      <w:r w:rsidR="007A2BF4" w:rsidRPr="00575214">
        <w:rPr>
          <w:rFonts w:ascii="Arial" w:hAnsi="Arial" w:cs="Arial"/>
          <w:lang w:val="fr-FR"/>
        </w:rPr>
        <w:t xml:space="preserve"> ne soit pas désastreuse</w:t>
      </w:r>
      <w:r w:rsidRPr="00575214">
        <w:rPr>
          <w:rFonts w:ascii="Arial" w:hAnsi="Arial" w:cs="Arial"/>
          <w:lang w:val="fr-FR"/>
        </w:rPr>
        <w:t xml:space="preserve">, </w:t>
      </w:r>
      <w:r w:rsidR="007A2BF4" w:rsidRPr="00575214">
        <w:rPr>
          <w:rFonts w:ascii="Arial" w:hAnsi="Arial" w:cs="Arial"/>
          <w:lang w:val="fr-FR"/>
        </w:rPr>
        <w:t>un</w:t>
      </w:r>
      <w:r w:rsidR="00424A9D" w:rsidRPr="00575214">
        <w:rPr>
          <w:rFonts w:ascii="Arial" w:hAnsi="Arial" w:cs="Arial"/>
          <w:lang w:val="fr-FR"/>
        </w:rPr>
        <w:t xml:space="preserve"> rang </w:t>
      </w:r>
      <w:r w:rsidR="007A2BF4" w:rsidRPr="00575214">
        <w:rPr>
          <w:rFonts w:ascii="Arial" w:hAnsi="Arial" w:cs="Arial"/>
          <w:lang w:val="fr-FR"/>
        </w:rPr>
        <w:t>médiocre de cet indice a des répercussions négatives sur l</w:t>
      </w:r>
      <w:r w:rsidR="00424A9D" w:rsidRPr="00575214">
        <w:rPr>
          <w:rFonts w:ascii="Arial" w:hAnsi="Arial" w:cs="Arial"/>
          <w:lang w:val="fr-FR"/>
        </w:rPr>
        <w:t xml:space="preserve">e positionnement final du Luxembourg dans le GCR, étant donné que les facteurs d’efficacité </w:t>
      </w:r>
      <w:r w:rsidR="00DD2114">
        <w:rPr>
          <w:rFonts w:ascii="Arial" w:hAnsi="Arial" w:cs="Arial"/>
          <w:lang w:val="fr-FR"/>
        </w:rPr>
        <w:t>pèsent</w:t>
      </w:r>
      <w:r w:rsidR="00DD2114" w:rsidRPr="00575214">
        <w:rPr>
          <w:rFonts w:ascii="Arial" w:hAnsi="Arial" w:cs="Arial"/>
          <w:lang w:val="fr-FR"/>
        </w:rPr>
        <w:t xml:space="preserve"> </w:t>
      </w:r>
      <w:r w:rsidR="00424A9D" w:rsidRPr="00575214">
        <w:rPr>
          <w:rFonts w:ascii="Arial" w:hAnsi="Arial" w:cs="Arial"/>
          <w:lang w:val="fr-FR"/>
        </w:rPr>
        <w:t xml:space="preserve">pour 50% </w:t>
      </w:r>
      <w:r w:rsidR="00386B41" w:rsidRPr="00575214">
        <w:rPr>
          <w:rFonts w:ascii="Arial" w:hAnsi="Arial" w:cs="Arial"/>
          <w:lang w:val="fr-FR"/>
        </w:rPr>
        <w:t>de la compétitivité du Luxembourg, tandis que l</w:t>
      </w:r>
      <w:r w:rsidR="00B219FC">
        <w:rPr>
          <w:rFonts w:ascii="Arial" w:hAnsi="Arial" w:cs="Arial"/>
          <w:lang w:val="fr-FR"/>
        </w:rPr>
        <w:t>e sous-</w:t>
      </w:r>
      <w:r w:rsidR="00386B41" w:rsidRPr="00575214">
        <w:rPr>
          <w:rFonts w:ascii="Arial" w:hAnsi="Arial" w:cs="Arial"/>
          <w:lang w:val="fr-FR"/>
        </w:rPr>
        <w:t xml:space="preserve">indice des conditions de base, l’indice le plus fort du </w:t>
      </w:r>
      <w:r w:rsidR="00590B88">
        <w:rPr>
          <w:rFonts w:ascii="Arial" w:hAnsi="Arial" w:cs="Arial"/>
          <w:lang w:val="fr-FR"/>
        </w:rPr>
        <w:t>Luxembourg,</w:t>
      </w:r>
      <w:r w:rsidR="00386B41" w:rsidRPr="00575214">
        <w:rPr>
          <w:rFonts w:ascii="Arial" w:hAnsi="Arial" w:cs="Arial"/>
          <w:lang w:val="fr-FR"/>
        </w:rPr>
        <w:t xml:space="preserve"> </w:t>
      </w:r>
      <w:r w:rsidR="00DD2114">
        <w:rPr>
          <w:rFonts w:ascii="Arial" w:hAnsi="Arial" w:cs="Arial"/>
          <w:lang w:val="fr-FR"/>
        </w:rPr>
        <w:t xml:space="preserve">n’intervient qu’à concurrence de </w:t>
      </w:r>
      <w:r w:rsidR="00386B41" w:rsidRPr="00575214">
        <w:rPr>
          <w:rFonts w:ascii="Arial" w:hAnsi="Arial" w:cs="Arial"/>
          <w:lang w:val="fr-FR"/>
        </w:rPr>
        <w:t>20%</w:t>
      </w:r>
      <w:r w:rsidR="001A7214">
        <w:rPr>
          <w:rFonts w:ascii="Arial" w:hAnsi="Arial" w:cs="Arial"/>
          <w:lang w:val="fr-FR"/>
        </w:rPr>
        <w:t xml:space="preserve"> dans </w:t>
      </w:r>
      <w:r w:rsidR="00DD2114">
        <w:rPr>
          <w:rFonts w:ascii="Arial" w:hAnsi="Arial" w:cs="Arial"/>
          <w:lang w:val="fr-FR"/>
        </w:rPr>
        <w:t xml:space="preserve">la </w:t>
      </w:r>
      <w:r w:rsidR="001A7214">
        <w:rPr>
          <w:rFonts w:ascii="Arial" w:hAnsi="Arial" w:cs="Arial"/>
          <w:lang w:val="fr-FR"/>
        </w:rPr>
        <w:t>note finale</w:t>
      </w:r>
      <w:r w:rsidR="00A54661">
        <w:rPr>
          <w:rStyle w:val="FootnoteReference"/>
          <w:rFonts w:ascii="Arial" w:hAnsi="Arial" w:cs="Arial"/>
          <w:lang w:val="fr-FR"/>
        </w:rPr>
        <w:footnoteReference w:id="2"/>
      </w:r>
      <w:r w:rsidR="00386B41" w:rsidRPr="00575214">
        <w:rPr>
          <w:rFonts w:ascii="Arial" w:hAnsi="Arial" w:cs="Arial"/>
          <w:lang w:val="fr-FR"/>
        </w:rPr>
        <w:t>.</w:t>
      </w:r>
    </w:p>
    <w:p w:rsidR="002872C6" w:rsidRDefault="002872C6" w:rsidP="00BE54ED">
      <w:pPr>
        <w:spacing w:after="0" w:line="259" w:lineRule="auto"/>
        <w:jc w:val="both"/>
        <w:rPr>
          <w:rFonts w:ascii="Arial" w:hAnsi="Arial" w:cs="Arial"/>
          <w:lang w:val="fr-FR"/>
        </w:rPr>
      </w:pPr>
    </w:p>
    <w:p w:rsidR="005D0AE5" w:rsidRDefault="00752C9F" w:rsidP="00BE54ED">
      <w:pPr>
        <w:spacing w:after="0" w:line="259" w:lineRule="auto"/>
        <w:jc w:val="both"/>
        <w:rPr>
          <w:rFonts w:ascii="Arial" w:hAnsi="Arial" w:cs="Arial"/>
          <w:lang w:val="fr-FR"/>
        </w:rPr>
      </w:pPr>
      <w:r w:rsidRPr="00752C9F">
        <w:rPr>
          <w:rFonts w:ascii="Arial" w:hAnsi="Arial" w:cs="Arial"/>
          <w:lang w:val="fr-FR"/>
        </w:rPr>
        <w:t xml:space="preserve">Les principaux changements </w:t>
      </w:r>
      <w:r w:rsidR="00FC2244">
        <w:rPr>
          <w:rFonts w:ascii="Arial" w:hAnsi="Arial" w:cs="Arial"/>
          <w:lang w:val="fr-FR"/>
        </w:rPr>
        <w:t>s’opèrent au niveau de</w:t>
      </w:r>
      <w:r w:rsidR="006779E7">
        <w:rPr>
          <w:rFonts w:ascii="Arial" w:hAnsi="Arial" w:cs="Arial"/>
          <w:lang w:val="fr-FR"/>
        </w:rPr>
        <w:t xml:space="preserve">s </w:t>
      </w:r>
      <w:r w:rsidR="00FC2244" w:rsidRPr="00F239F7">
        <w:rPr>
          <w:rFonts w:ascii="Arial" w:hAnsi="Arial" w:cs="Arial"/>
          <w:b/>
          <w:lang w:val="fr-FR"/>
        </w:rPr>
        <w:t>aptitude</w:t>
      </w:r>
      <w:r w:rsidR="006779E7" w:rsidRPr="00F239F7">
        <w:rPr>
          <w:rFonts w:ascii="Arial" w:hAnsi="Arial" w:cs="Arial"/>
          <w:b/>
          <w:lang w:val="fr-FR"/>
        </w:rPr>
        <w:t>s</w:t>
      </w:r>
      <w:r w:rsidR="00FC2244" w:rsidRPr="00F239F7">
        <w:rPr>
          <w:rFonts w:ascii="Arial" w:hAnsi="Arial" w:cs="Arial"/>
          <w:b/>
          <w:lang w:val="fr-FR"/>
        </w:rPr>
        <w:t xml:space="preserve"> technologique</w:t>
      </w:r>
      <w:r w:rsidR="006779E7" w:rsidRPr="00F239F7">
        <w:rPr>
          <w:rFonts w:ascii="Arial" w:hAnsi="Arial" w:cs="Arial"/>
          <w:b/>
          <w:lang w:val="fr-FR"/>
        </w:rPr>
        <w:t>s</w:t>
      </w:r>
      <w:r w:rsidR="00FC2244" w:rsidRPr="00826692">
        <w:rPr>
          <w:rFonts w:ascii="Arial" w:hAnsi="Arial" w:cs="Arial"/>
          <w:lang w:val="fr-FR"/>
        </w:rPr>
        <w:t xml:space="preserve">, de </w:t>
      </w:r>
      <w:r w:rsidR="00A01000" w:rsidRPr="00A01000">
        <w:rPr>
          <w:rFonts w:ascii="Arial" w:hAnsi="Arial" w:cs="Arial"/>
          <w:b/>
          <w:lang w:val="fr-FR"/>
        </w:rPr>
        <w:t>l’éducation post-primaire et de la formation continue</w:t>
      </w:r>
      <w:r w:rsidR="00FC2244" w:rsidRPr="00826692">
        <w:rPr>
          <w:rFonts w:ascii="Arial" w:hAnsi="Arial" w:cs="Arial"/>
          <w:lang w:val="fr-FR"/>
        </w:rPr>
        <w:t xml:space="preserve"> et</w:t>
      </w:r>
      <w:r w:rsidR="00B219FC">
        <w:rPr>
          <w:rFonts w:ascii="Arial" w:hAnsi="Arial" w:cs="Arial"/>
          <w:lang w:val="fr-FR"/>
        </w:rPr>
        <w:t xml:space="preserve"> de </w:t>
      </w:r>
      <w:r w:rsidR="00A01000" w:rsidRPr="00A01000">
        <w:rPr>
          <w:rFonts w:ascii="Arial" w:hAnsi="Arial" w:cs="Arial"/>
          <w:b/>
          <w:lang w:val="fr-FR"/>
        </w:rPr>
        <w:t>l’efficacité du marché du travail</w:t>
      </w:r>
      <w:r w:rsidR="00FC2244" w:rsidRPr="00826692">
        <w:rPr>
          <w:rFonts w:ascii="Arial" w:hAnsi="Arial" w:cs="Arial"/>
          <w:lang w:val="fr-FR"/>
        </w:rPr>
        <w:t>.</w:t>
      </w:r>
      <w:r w:rsidR="005D0AE5">
        <w:rPr>
          <w:rFonts w:ascii="Arial" w:hAnsi="Arial" w:cs="Arial"/>
          <w:lang w:val="fr-FR"/>
        </w:rPr>
        <w:t xml:space="preserve"> </w:t>
      </w:r>
      <w:r w:rsidR="0007355D">
        <w:rPr>
          <w:rFonts w:ascii="Arial" w:hAnsi="Arial" w:cs="Arial"/>
          <w:lang w:val="fr-FR"/>
        </w:rPr>
        <w:t>Un changement particulièrement apprécié</w:t>
      </w:r>
      <w:r w:rsidR="00AB6CF9">
        <w:rPr>
          <w:rFonts w:ascii="Arial" w:hAnsi="Arial" w:cs="Arial"/>
          <w:lang w:val="fr-FR"/>
        </w:rPr>
        <w:t> :</w:t>
      </w:r>
      <w:r w:rsidR="005D0AE5">
        <w:rPr>
          <w:rFonts w:ascii="Arial" w:hAnsi="Arial" w:cs="Arial"/>
          <w:lang w:val="fr-FR"/>
        </w:rPr>
        <w:t xml:space="preserve"> le Luxembourg</w:t>
      </w:r>
      <w:r w:rsidR="005D0AE5" w:rsidRPr="005D0AE5">
        <w:rPr>
          <w:rFonts w:ascii="Arial" w:hAnsi="Arial" w:cs="Arial"/>
          <w:lang w:val="fr-FR"/>
        </w:rPr>
        <w:t xml:space="preserve"> </w:t>
      </w:r>
      <w:r w:rsidR="005D0AE5" w:rsidRPr="00B6745A">
        <w:rPr>
          <w:rFonts w:ascii="Arial" w:hAnsi="Arial" w:cs="Arial"/>
          <w:lang w:val="fr-FR"/>
        </w:rPr>
        <w:t>remporte la palme d</w:t>
      </w:r>
      <w:r w:rsidR="005D0AE5">
        <w:rPr>
          <w:rFonts w:ascii="Arial" w:hAnsi="Arial" w:cs="Arial"/>
          <w:lang w:val="fr-FR"/>
        </w:rPr>
        <w:t>’or pour s</w:t>
      </w:r>
      <w:r w:rsidR="006779E7">
        <w:rPr>
          <w:rFonts w:ascii="Arial" w:hAnsi="Arial" w:cs="Arial"/>
          <w:lang w:val="fr-FR"/>
        </w:rPr>
        <w:t>es</w:t>
      </w:r>
      <w:r w:rsidR="005D0AE5">
        <w:rPr>
          <w:rFonts w:ascii="Arial" w:hAnsi="Arial" w:cs="Arial"/>
          <w:lang w:val="fr-FR"/>
        </w:rPr>
        <w:t xml:space="preserve"> </w:t>
      </w:r>
      <w:r w:rsidR="00A01000" w:rsidRPr="00A01000">
        <w:rPr>
          <w:rFonts w:ascii="Arial" w:hAnsi="Arial" w:cs="Arial"/>
          <w:b/>
          <w:lang w:val="fr-FR"/>
        </w:rPr>
        <w:t>aptitudes technologiques</w:t>
      </w:r>
      <w:r w:rsidR="0007355D">
        <w:rPr>
          <w:rFonts w:ascii="Arial" w:hAnsi="Arial" w:cs="Arial"/>
          <w:lang w:val="fr-FR"/>
        </w:rPr>
        <w:t xml:space="preserve">, une </w:t>
      </w:r>
      <w:r w:rsidR="001F00CC">
        <w:rPr>
          <w:rFonts w:ascii="Arial" w:hAnsi="Arial" w:cs="Arial"/>
          <w:lang w:val="fr-FR"/>
        </w:rPr>
        <w:t xml:space="preserve">belle </w:t>
      </w:r>
      <w:r w:rsidR="00AB6CF9">
        <w:rPr>
          <w:rFonts w:ascii="Arial" w:hAnsi="Arial" w:cs="Arial"/>
          <w:lang w:val="fr-FR"/>
        </w:rPr>
        <w:t xml:space="preserve">progression </w:t>
      </w:r>
      <w:r w:rsidR="001F00CC">
        <w:rPr>
          <w:rFonts w:ascii="Arial" w:hAnsi="Arial" w:cs="Arial"/>
          <w:lang w:val="fr-FR"/>
        </w:rPr>
        <w:t>qui résulte d’une me</w:t>
      </w:r>
      <w:r w:rsidR="001C6F95">
        <w:rPr>
          <w:rFonts w:ascii="Arial" w:hAnsi="Arial" w:cs="Arial"/>
          <w:lang w:val="fr-FR"/>
        </w:rPr>
        <w:t xml:space="preserve">illeure performance en termes d’absorption des technologies </w:t>
      </w:r>
      <w:r w:rsidR="000A5647">
        <w:rPr>
          <w:rFonts w:ascii="Arial" w:hAnsi="Arial" w:cs="Arial"/>
          <w:lang w:val="fr-FR"/>
        </w:rPr>
        <w:t>par les</w:t>
      </w:r>
      <w:r w:rsidR="001C6F95">
        <w:rPr>
          <w:rFonts w:ascii="Arial" w:hAnsi="Arial" w:cs="Arial"/>
          <w:lang w:val="fr-FR"/>
        </w:rPr>
        <w:t xml:space="preserve"> entreprises (+16 ; 13</w:t>
      </w:r>
      <w:r w:rsidR="001C6F95" w:rsidRPr="001C6F95">
        <w:rPr>
          <w:rFonts w:ascii="Arial" w:hAnsi="Arial" w:cs="Arial"/>
          <w:vertAlign w:val="superscript"/>
          <w:lang w:val="fr-FR"/>
        </w:rPr>
        <w:t>e</w:t>
      </w:r>
      <w:r w:rsidR="001C6F95">
        <w:rPr>
          <w:rFonts w:ascii="Arial" w:hAnsi="Arial" w:cs="Arial"/>
          <w:lang w:val="fr-FR"/>
        </w:rPr>
        <w:t xml:space="preserve"> place) et de</w:t>
      </w:r>
      <w:r w:rsidR="00B219FC">
        <w:rPr>
          <w:rFonts w:ascii="Arial" w:hAnsi="Arial" w:cs="Arial"/>
          <w:lang w:val="fr-FR"/>
        </w:rPr>
        <w:t xml:space="preserve"> pénétration de la</w:t>
      </w:r>
      <w:r w:rsidR="001C6F95">
        <w:rPr>
          <w:rFonts w:ascii="Arial" w:hAnsi="Arial" w:cs="Arial"/>
          <w:lang w:val="fr-FR"/>
        </w:rPr>
        <w:t xml:space="preserve"> bande large (+11 ; 1</w:t>
      </w:r>
      <w:r w:rsidR="00A84CEA">
        <w:rPr>
          <w:rFonts w:ascii="Arial" w:hAnsi="Arial" w:cs="Arial"/>
          <w:vertAlign w:val="superscript"/>
          <w:lang w:val="fr-FR"/>
        </w:rPr>
        <w:t>e</w:t>
      </w:r>
      <w:r w:rsidR="001C6F95">
        <w:rPr>
          <w:rFonts w:ascii="Arial" w:hAnsi="Arial" w:cs="Arial"/>
          <w:lang w:val="fr-FR"/>
        </w:rPr>
        <w:t xml:space="preserve"> place).</w:t>
      </w:r>
      <w:r w:rsidR="0007355D">
        <w:rPr>
          <w:rFonts w:ascii="Arial" w:hAnsi="Arial" w:cs="Arial"/>
          <w:lang w:val="fr-FR"/>
        </w:rPr>
        <w:t xml:space="preserve"> </w:t>
      </w:r>
      <w:r w:rsidR="005C473C">
        <w:rPr>
          <w:rFonts w:ascii="Arial" w:hAnsi="Arial" w:cs="Arial"/>
          <w:lang w:val="fr-FR"/>
        </w:rPr>
        <w:t> Après s</w:t>
      </w:r>
      <w:r w:rsidR="001C6F95">
        <w:rPr>
          <w:rFonts w:ascii="Arial" w:hAnsi="Arial" w:cs="Arial"/>
          <w:lang w:val="fr-FR"/>
        </w:rPr>
        <w:t>a</w:t>
      </w:r>
      <w:r w:rsidR="005D0AE5">
        <w:rPr>
          <w:rFonts w:ascii="Arial" w:hAnsi="Arial" w:cs="Arial"/>
          <w:lang w:val="fr-FR"/>
        </w:rPr>
        <w:t xml:space="preserve"> chute </w:t>
      </w:r>
      <w:r w:rsidR="009D6BB4">
        <w:rPr>
          <w:rFonts w:ascii="Arial" w:hAnsi="Arial" w:cs="Arial"/>
          <w:lang w:val="fr-FR"/>
        </w:rPr>
        <w:t>du</w:t>
      </w:r>
      <w:r w:rsidR="005D0AE5">
        <w:rPr>
          <w:rFonts w:ascii="Arial" w:hAnsi="Arial" w:cs="Arial"/>
          <w:lang w:val="fr-FR"/>
        </w:rPr>
        <w:t xml:space="preserve"> 2</w:t>
      </w:r>
      <w:r w:rsidR="005D0AE5" w:rsidRPr="00B6745A">
        <w:rPr>
          <w:rFonts w:ascii="Arial" w:hAnsi="Arial" w:cs="Arial"/>
          <w:vertAlign w:val="superscript"/>
          <w:lang w:val="fr-FR"/>
        </w:rPr>
        <w:t>e</w:t>
      </w:r>
      <w:r w:rsidR="005D0AE5">
        <w:rPr>
          <w:rFonts w:ascii="Arial" w:hAnsi="Arial" w:cs="Arial"/>
          <w:lang w:val="fr-FR"/>
        </w:rPr>
        <w:t xml:space="preserve"> au 9</w:t>
      </w:r>
      <w:r w:rsidR="005D0AE5" w:rsidRPr="00B6745A">
        <w:rPr>
          <w:rFonts w:ascii="Arial" w:hAnsi="Arial" w:cs="Arial"/>
          <w:vertAlign w:val="superscript"/>
          <w:lang w:val="fr-FR"/>
        </w:rPr>
        <w:t>e</w:t>
      </w:r>
      <w:r w:rsidR="005D0AE5">
        <w:rPr>
          <w:rFonts w:ascii="Arial" w:hAnsi="Arial" w:cs="Arial"/>
          <w:lang w:val="fr-FR"/>
        </w:rPr>
        <w:t xml:space="preserve"> </w:t>
      </w:r>
      <w:r w:rsidR="009D6BB4">
        <w:rPr>
          <w:rFonts w:ascii="Arial" w:hAnsi="Arial" w:cs="Arial"/>
          <w:lang w:val="fr-FR"/>
        </w:rPr>
        <w:t xml:space="preserve">rang </w:t>
      </w:r>
      <w:r w:rsidR="005D0AE5">
        <w:rPr>
          <w:rFonts w:ascii="Arial" w:hAnsi="Arial" w:cs="Arial"/>
          <w:lang w:val="fr-FR"/>
        </w:rPr>
        <w:t xml:space="preserve">en 2011, le succès </w:t>
      </w:r>
      <w:r w:rsidR="005C473C">
        <w:rPr>
          <w:rFonts w:ascii="Arial" w:hAnsi="Arial" w:cs="Arial"/>
          <w:lang w:val="fr-FR"/>
        </w:rPr>
        <w:t>du Grand-</w:t>
      </w:r>
      <w:r w:rsidR="00802BAC">
        <w:rPr>
          <w:rFonts w:ascii="Arial" w:hAnsi="Arial" w:cs="Arial"/>
          <w:lang w:val="fr-FR"/>
        </w:rPr>
        <w:t>d</w:t>
      </w:r>
      <w:r w:rsidR="005C473C">
        <w:rPr>
          <w:rFonts w:ascii="Arial" w:hAnsi="Arial" w:cs="Arial"/>
          <w:lang w:val="fr-FR"/>
        </w:rPr>
        <w:t xml:space="preserve">uché </w:t>
      </w:r>
      <w:r w:rsidR="009D6BB4">
        <w:rPr>
          <w:rFonts w:ascii="Arial" w:hAnsi="Arial" w:cs="Arial"/>
          <w:lang w:val="fr-FR"/>
        </w:rPr>
        <w:t xml:space="preserve">dans ce </w:t>
      </w:r>
      <w:r w:rsidR="006779E7">
        <w:rPr>
          <w:rFonts w:ascii="Arial" w:hAnsi="Arial" w:cs="Arial"/>
          <w:lang w:val="fr-FR"/>
        </w:rPr>
        <w:t>pilier</w:t>
      </w:r>
      <w:r w:rsidR="00FC7259">
        <w:rPr>
          <w:rFonts w:ascii="Arial" w:hAnsi="Arial" w:cs="Arial"/>
          <w:lang w:val="fr-FR"/>
        </w:rPr>
        <w:t xml:space="preserve"> cette année est plus qu’à saluer, notamment parce que les TIC constituent</w:t>
      </w:r>
      <w:r w:rsidR="00D44778">
        <w:rPr>
          <w:rFonts w:ascii="Arial" w:hAnsi="Arial" w:cs="Arial"/>
          <w:lang w:val="fr-FR"/>
        </w:rPr>
        <w:t xml:space="preserve"> </w:t>
      </w:r>
      <w:r w:rsidR="00D44778">
        <w:rPr>
          <w:rFonts w:ascii="Arial" w:hAnsi="Arial" w:cs="Arial"/>
          <w:i/>
          <w:lang w:val="fr-FR"/>
        </w:rPr>
        <w:t>per se</w:t>
      </w:r>
      <w:r w:rsidR="00FC7259">
        <w:rPr>
          <w:rFonts w:ascii="Arial" w:hAnsi="Arial" w:cs="Arial"/>
          <w:lang w:val="fr-FR"/>
        </w:rPr>
        <w:t xml:space="preserve"> un des « secteurs moteurs » de l’économie luxembourgeoise</w:t>
      </w:r>
      <w:r w:rsidR="00D44778">
        <w:rPr>
          <w:rFonts w:ascii="Arial" w:hAnsi="Arial" w:cs="Arial"/>
          <w:lang w:val="fr-FR"/>
        </w:rPr>
        <w:t xml:space="preserve"> et par ailleurs un prestataire de service de premier ordre aux autres branches d’activités</w:t>
      </w:r>
      <w:r w:rsidR="00A54661">
        <w:rPr>
          <w:rFonts w:ascii="Arial" w:hAnsi="Arial" w:cs="Arial"/>
          <w:lang w:val="fr-FR"/>
        </w:rPr>
        <w:t xml:space="preserve"> de l’appareil de production national</w:t>
      </w:r>
      <w:r w:rsidR="00D44778">
        <w:rPr>
          <w:rFonts w:ascii="Arial" w:hAnsi="Arial" w:cs="Arial"/>
          <w:lang w:val="fr-FR"/>
        </w:rPr>
        <w:t>.</w:t>
      </w:r>
    </w:p>
    <w:p w:rsidR="002872C6" w:rsidRDefault="002872C6" w:rsidP="00BE54ED">
      <w:pPr>
        <w:spacing w:after="0" w:line="259" w:lineRule="auto"/>
        <w:jc w:val="both"/>
        <w:rPr>
          <w:rFonts w:ascii="Arial" w:hAnsi="Arial" w:cs="Arial"/>
          <w:lang w:val="fr-FR"/>
        </w:rPr>
      </w:pPr>
    </w:p>
    <w:p w:rsidR="001F5768" w:rsidRDefault="00EF3D9D" w:rsidP="00BE54ED">
      <w:pPr>
        <w:spacing w:after="0" w:line="259" w:lineRule="auto"/>
        <w:jc w:val="both"/>
        <w:rPr>
          <w:rFonts w:ascii="Arial" w:hAnsi="Arial" w:cs="Arial"/>
          <w:lang w:val="fr-FR"/>
        </w:rPr>
      </w:pPr>
      <w:r>
        <w:rPr>
          <w:rFonts w:ascii="Arial" w:hAnsi="Arial" w:cs="Arial"/>
          <w:lang w:val="fr-FR"/>
        </w:rPr>
        <w:t xml:space="preserve">L’année dernière, </w:t>
      </w:r>
      <w:r w:rsidR="00BB10EC">
        <w:rPr>
          <w:rFonts w:ascii="Arial" w:hAnsi="Arial" w:cs="Arial"/>
          <w:lang w:val="fr-FR"/>
        </w:rPr>
        <w:t>le Luxembourg</w:t>
      </w:r>
      <w:r w:rsidR="000175A3">
        <w:rPr>
          <w:rFonts w:ascii="Arial" w:hAnsi="Arial" w:cs="Arial"/>
          <w:lang w:val="fr-FR"/>
        </w:rPr>
        <w:t xml:space="preserve"> </w:t>
      </w:r>
      <w:r w:rsidR="00A54661">
        <w:rPr>
          <w:rFonts w:ascii="Arial" w:hAnsi="Arial" w:cs="Arial"/>
          <w:lang w:val="fr-FR"/>
        </w:rPr>
        <w:t>avait</w:t>
      </w:r>
      <w:r w:rsidR="000175A3">
        <w:rPr>
          <w:rFonts w:ascii="Arial" w:hAnsi="Arial" w:cs="Arial"/>
          <w:lang w:val="fr-FR"/>
        </w:rPr>
        <w:t xml:space="preserve"> réussi </w:t>
      </w:r>
      <w:r w:rsidR="00E04820">
        <w:rPr>
          <w:rFonts w:ascii="Arial" w:hAnsi="Arial" w:cs="Arial"/>
          <w:lang w:val="fr-FR"/>
        </w:rPr>
        <w:t>à renforcer sa performance (+8 ; 36</w:t>
      </w:r>
      <w:r w:rsidR="00E04820" w:rsidRPr="00E04820">
        <w:rPr>
          <w:rFonts w:ascii="Arial" w:hAnsi="Arial" w:cs="Arial"/>
          <w:vertAlign w:val="superscript"/>
          <w:lang w:val="fr-FR"/>
        </w:rPr>
        <w:t>e</w:t>
      </w:r>
      <w:r w:rsidR="00E04820">
        <w:rPr>
          <w:rFonts w:ascii="Arial" w:hAnsi="Arial" w:cs="Arial"/>
          <w:lang w:val="fr-FR"/>
        </w:rPr>
        <w:t xml:space="preserve"> place)</w:t>
      </w:r>
      <w:r w:rsidR="000175A3">
        <w:rPr>
          <w:rFonts w:ascii="Arial" w:hAnsi="Arial" w:cs="Arial"/>
          <w:lang w:val="fr-FR"/>
        </w:rPr>
        <w:t xml:space="preserve"> au niveau du </w:t>
      </w:r>
      <w:r w:rsidR="006779E7">
        <w:rPr>
          <w:rFonts w:ascii="Arial" w:hAnsi="Arial" w:cs="Arial"/>
          <w:lang w:val="fr-FR"/>
        </w:rPr>
        <w:t xml:space="preserve">pilier </w:t>
      </w:r>
      <w:r w:rsidR="000175A3">
        <w:rPr>
          <w:rFonts w:ascii="Arial" w:hAnsi="Arial" w:cs="Arial"/>
          <w:lang w:val="fr-FR"/>
        </w:rPr>
        <w:t xml:space="preserve">de </w:t>
      </w:r>
      <w:r w:rsidR="000175A3" w:rsidRPr="00826692">
        <w:rPr>
          <w:rFonts w:ascii="Arial" w:hAnsi="Arial" w:cs="Arial"/>
          <w:b/>
          <w:lang w:val="fr-FR"/>
        </w:rPr>
        <w:t>l’</w:t>
      </w:r>
      <w:r w:rsidR="002D3DD2" w:rsidRPr="00826692">
        <w:rPr>
          <w:rFonts w:ascii="Arial" w:hAnsi="Arial" w:cs="Arial"/>
          <w:b/>
          <w:lang w:val="fr-FR"/>
        </w:rPr>
        <w:t xml:space="preserve">éducation post-primaire et de </w:t>
      </w:r>
      <w:r w:rsidR="000175A3" w:rsidRPr="00826692">
        <w:rPr>
          <w:rFonts w:ascii="Arial" w:hAnsi="Arial" w:cs="Arial"/>
          <w:b/>
          <w:lang w:val="fr-FR"/>
        </w:rPr>
        <w:t>la formation</w:t>
      </w:r>
      <w:r w:rsidR="002D3DD2" w:rsidRPr="00826692">
        <w:rPr>
          <w:rFonts w:ascii="Arial" w:hAnsi="Arial" w:cs="Arial"/>
          <w:b/>
          <w:lang w:val="fr-FR"/>
        </w:rPr>
        <w:t xml:space="preserve"> continue</w:t>
      </w:r>
      <w:r w:rsidR="000D70A2">
        <w:rPr>
          <w:rFonts w:ascii="Arial" w:hAnsi="Arial" w:cs="Arial"/>
        </w:rPr>
        <w:t>, un pilier traditionnellement</w:t>
      </w:r>
      <w:r w:rsidR="00A54661">
        <w:rPr>
          <w:rFonts w:ascii="Arial" w:hAnsi="Arial" w:cs="Arial"/>
        </w:rPr>
        <w:t xml:space="preserve"> plus</w:t>
      </w:r>
      <w:r w:rsidR="000D70A2">
        <w:rPr>
          <w:rFonts w:ascii="Arial" w:hAnsi="Arial" w:cs="Arial"/>
        </w:rPr>
        <w:t xml:space="preserve"> faible du Luxembourg du fait</w:t>
      </w:r>
      <w:r w:rsidR="00B219FC">
        <w:rPr>
          <w:rFonts w:ascii="Arial" w:hAnsi="Arial" w:cs="Arial"/>
        </w:rPr>
        <w:t>, bien que cela ne soit pas la raison exclusive,</w:t>
      </w:r>
      <w:r w:rsidR="000D70A2">
        <w:rPr>
          <w:rFonts w:ascii="Arial" w:hAnsi="Arial" w:cs="Arial"/>
        </w:rPr>
        <w:t xml:space="preserve"> </w:t>
      </w:r>
      <w:r w:rsidR="00B219FC">
        <w:rPr>
          <w:rFonts w:ascii="Arial" w:hAnsi="Arial" w:cs="Arial"/>
        </w:rPr>
        <w:t xml:space="preserve">que </w:t>
      </w:r>
      <w:r w:rsidR="000D70A2">
        <w:rPr>
          <w:rFonts w:ascii="Arial" w:hAnsi="Arial" w:cs="Arial"/>
        </w:rPr>
        <w:t xml:space="preserve">certains indicateurs y figurant ne prennent pas en compte </w:t>
      </w:r>
      <w:r w:rsidR="00D44778">
        <w:rPr>
          <w:rFonts w:ascii="Arial" w:hAnsi="Arial" w:cs="Arial"/>
        </w:rPr>
        <w:t xml:space="preserve">une </w:t>
      </w:r>
      <w:r w:rsidR="000D70A2">
        <w:rPr>
          <w:rFonts w:ascii="Arial" w:hAnsi="Arial" w:cs="Arial"/>
        </w:rPr>
        <w:t>spécificité luxembourgeoise, à savoir le nombre d’étudiants résidents scolarisés à l’étranger</w:t>
      </w:r>
      <w:r w:rsidR="00646868">
        <w:rPr>
          <w:rFonts w:ascii="Arial" w:hAnsi="Arial" w:cs="Arial"/>
        </w:rPr>
        <w:t>, notamment aux niveaux secondaire et tertiaire</w:t>
      </w:r>
      <w:r w:rsidR="000D70A2">
        <w:rPr>
          <w:rStyle w:val="FootnoteReference"/>
          <w:rFonts w:ascii="Arial" w:hAnsi="Arial" w:cs="Arial"/>
        </w:rPr>
        <w:footnoteReference w:id="3"/>
      </w:r>
      <w:r w:rsidR="00646868">
        <w:rPr>
          <w:rFonts w:ascii="Arial" w:hAnsi="Arial" w:cs="Arial"/>
        </w:rPr>
        <w:t>.</w:t>
      </w:r>
      <w:r w:rsidR="00E04820">
        <w:rPr>
          <w:rFonts w:ascii="Arial" w:hAnsi="Arial" w:cs="Arial"/>
          <w:lang w:val="fr-FR"/>
        </w:rPr>
        <w:t xml:space="preserve"> Dans l’édition 2014-2015, par contre, </w:t>
      </w:r>
      <w:r w:rsidR="00646868">
        <w:rPr>
          <w:rFonts w:ascii="Arial" w:hAnsi="Arial" w:cs="Arial"/>
          <w:lang w:val="fr-FR"/>
        </w:rPr>
        <w:t>le classement atteint d</w:t>
      </w:r>
      <w:r w:rsidR="003B18CF">
        <w:rPr>
          <w:rFonts w:ascii="Arial" w:hAnsi="Arial" w:cs="Arial"/>
          <w:lang w:val="fr-FR"/>
        </w:rPr>
        <w:t>ans c</w:t>
      </w:r>
      <w:r w:rsidR="00646868">
        <w:rPr>
          <w:rFonts w:ascii="Arial" w:hAnsi="Arial" w:cs="Arial"/>
          <w:lang w:val="fr-FR"/>
        </w:rPr>
        <w:t xml:space="preserve">e pilier </w:t>
      </w:r>
      <w:r w:rsidR="00E04820">
        <w:rPr>
          <w:rFonts w:ascii="Arial" w:hAnsi="Arial" w:cs="Arial"/>
          <w:lang w:val="fr-FR"/>
        </w:rPr>
        <w:t>rechute de 7 places pour se situer au</w:t>
      </w:r>
      <w:r w:rsidR="00646868">
        <w:rPr>
          <w:rFonts w:ascii="Arial" w:hAnsi="Arial" w:cs="Arial"/>
          <w:lang w:val="fr-FR"/>
        </w:rPr>
        <w:t xml:space="preserve"> 43</w:t>
      </w:r>
      <w:r w:rsidR="00646868" w:rsidRPr="00646868">
        <w:rPr>
          <w:rFonts w:ascii="Arial" w:hAnsi="Arial" w:cs="Arial"/>
          <w:vertAlign w:val="superscript"/>
          <w:lang w:val="fr-FR"/>
        </w:rPr>
        <w:t>e</w:t>
      </w:r>
      <w:r w:rsidR="00646868">
        <w:rPr>
          <w:rFonts w:ascii="Arial" w:hAnsi="Arial" w:cs="Arial"/>
          <w:lang w:val="fr-FR"/>
        </w:rPr>
        <w:t xml:space="preserve"> </w:t>
      </w:r>
      <w:r w:rsidR="00E04820">
        <w:rPr>
          <w:rFonts w:ascii="Arial" w:hAnsi="Arial" w:cs="Arial"/>
          <w:lang w:val="fr-FR"/>
        </w:rPr>
        <w:t>rang</w:t>
      </w:r>
      <w:r w:rsidR="00302552">
        <w:rPr>
          <w:rFonts w:ascii="Arial" w:hAnsi="Arial" w:cs="Arial"/>
          <w:lang w:val="fr-FR"/>
        </w:rPr>
        <w:t>.</w:t>
      </w:r>
      <w:r w:rsidR="0029088B">
        <w:rPr>
          <w:rFonts w:ascii="Arial" w:hAnsi="Arial" w:cs="Arial"/>
          <w:lang w:val="fr-FR"/>
        </w:rPr>
        <w:t xml:space="preserve"> </w:t>
      </w:r>
      <w:r w:rsidR="000D70A2">
        <w:rPr>
          <w:rFonts w:ascii="Arial" w:hAnsi="Arial" w:cs="Arial"/>
          <w:lang w:val="fr-FR"/>
        </w:rPr>
        <w:t xml:space="preserve">Cependant, </w:t>
      </w:r>
      <w:r w:rsidR="00646868">
        <w:rPr>
          <w:rFonts w:ascii="Arial" w:hAnsi="Arial" w:cs="Arial"/>
          <w:lang w:val="fr-FR"/>
        </w:rPr>
        <w:t>la dégradation générale enregistrée concernant ce pilier</w:t>
      </w:r>
      <w:r w:rsidR="008A3BAD">
        <w:rPr>
          <w:rFonts w:ascii="Arial" w:hAnsi="Arial" w:cs="Arial"/>
          <w:lang w:val="fr-FR"/>
        </w:rPr>
        <w:t xml:space="preserve"> cache</w:t>
      </w:r>
      <w:r w:rsidR="003B18CF">
        <w:rPr>
          <w:rFonts w:ascii="Arial" w:hAnsi="Arial" w:cs="Arial"/>
          <w:lang w:val="fr-FR"/>
        </w:rPr>
        <w:t xml:space="preserve"> également</w:t>
      </w:r>
      <w:r w:rsidR="008A3BAD">
        <w:rPr>
          <w:rFonts w:ascii="Arial" w:hAnsi="Arial" w:cs="Arial"/>
          <w:lang w:val="fr-FR"/>
        </w:rPr>
        <w:t xml:space="preserve"> des améliorations</w:t>
      </w:r>
      <w:r w:rsidR="003B18CF">
        <w:rPr>
          <w:rFonts w:ascii="Arial" w:hAnsi="Arial" w:cs="Arial"/>
          <w:lang w:val="fr-FR"/>
        </w:rPr>
        <w:t xml:space="preserve"> de certains indicateurs le composant</w:t>
      </w:r>
      <w:r w:rsidR="00B219FC">
        <w:rPr>
          <w:rFonts w:ascii="Arial" w:hAnsi="Arial" w:cs="Arial"/>
          <w:lang w:val="fr-FR"/>
        </w:rPr>
        <w:t>, difficilement cernables il est vrai,</w:t>
      </w:r>
      <w:r w:rsidR="008A3BAD">
        <w:rPr>
          <w:rFonts w:ascii="Arial" w:hAnsi="Arial" w:cs="Arial"/>
          <w:lang w:val="fr-FR"/>
        </w:rPr>
        <w:t xml:space="preserve"> </w:t>
      </w:r>
      <w:r w:rsidR="003B18CF">
        <w:rPr>
          <w:rFonts w:ascii="Arial" w:hAnsi="Arial" w:cs="Arial"/>
          <w:lang w:val="fr-FR"/>
        </w:rPr>
        <w:t xml:space="preserve">et se situant notamment </w:t>
      </w:r>
      <w:r w:rsidR="008A3BAD">
        <w:rPr>
          <w:rFonts w:ascii="Arial" w:hAnsi="Arial" w:cs="Arial"/>
          <w:lang w:val="fr-FR"/>
        </w:rPr>
        <w:t>au niveau de la qualité de l’enseignement en mathématiques et sciences (+16 ; 28</w:t>
      </w:r>
      <w:r w:rsidR="008A3BAD" w:rsidRPr="008A3BAD">
        <w:rPr>
          <w:rFonts w:ascii="Arial" w:hAnsi="Arial" w:cs="Arial"/>
          <w:vertAlign w:val="superscript"/>
          <w:lang w:val="fr-FR"/>
        </w:rPr>
        <w:t>e</w:t>
      </w:r>
      <w:r w:rsidR="008A3BAD">
        <w:rPr>
          <w:rFonts w:ascii="Arial" w:hAnsi="Arial" w:cs="Arial"/>
          <w:lang w:val="fr-FR"/>
        </w:rPr>
        <w:t xml:space="preserve"> place)</w:t>
      </w:r>
      <w:r w:rsidR="00926A8D">
        <w:rPr>
          <w:rFonts w:ascii="Arial" w:hAnsi="Arial" w:cs="Arial"/>
          <w:lang w:val="fr-FR"/>
        </w:rPr>
        <w:t xml:space="preserve"> ainsi qu’en ce qui concerne la qualité du système d’éducation (+9 ; 25</w:t>
      </w:r>
      <w:r w:rsidR="00926A8D" w:rsidRPr="00926A8D">
        <w:rPr>
          <w:rFonts w:ascii="Arial" w:hAnsi="Arial" w:cs="Arial"/>
          <w:vertAlign w:val="superscript"/>
          <w:lang w:val="fr-FR"/>
        </w:rPr>
        <w:t>e</w:t>
      </w:r>
      <w:r w:rsidR="00926A8D">
        <w:rPr>
          <w:rFonts w:ascii="Arial" w:hAnsi="Arial" w:cs="Arial"/>
          <w:lang w:val="fr-FR"/>
        </w:rPr>
        <w:t xml:space="preserve"> place)</w:t>
      </w:r>
      <w:r w:rsidR="00BB41B4">
        <w:rPr>
          <w:rFonts w:ascii="Arial" w:hAnsi="Arial" w:cs="Arial"/>
          <w:lang w:val="fr-FR"/>
        </w:rPr>
        <w:t xml:space="preserve">. La </w:t>
      </w:r>
      <w:r w:rsidR="00B219FC">
        <w:rPr>
          <w:rFonts w:ascii="Arial" w:hAnsi="Arial" w:cs="Arial"/>
          <w:lang w:val="fr-FR"/>
        </w:rPr>
        <w:t>« </w:t>
      </w:r>
      <w:r w:rsidR="00BB41B4">
        <w:rPr>
          <w:rFonts w:ascii="Arial" w:hAnsi="Arial" w:cs="Arial"/>
          <w:lang w:val="fr-FR"/>
        </w:rPr>
        <w:t xml:space="preserve">réforme du </w:t>
      </w:r>
      <w:r w:rsidR="00B219FC">
        <w:rPr>
          <w:rFonts w:ascii="Arial" w:hAnsi="Arial" w:cs="Arial"/>
          <w:lang w:val="fr-FR"/>
        </w:rPr>
        <w:t>l</w:t>
      </w:r>
      <w:r w:rsidR="00BB41B4">
        <w:rPr>
          <w:rFonts w:ascii="Arial" w:hAnsi="Arial" w:cs="Arial"/>
          <w:lang w:val="fr-FR"/>
        </w:rPr>
        <w:t>ycée</w:t>
      </w:r>
      <w:r w:rsidR="00B219FC">
        <w:rPr>
          <w:rFonts w:ascii="Arial" w:hAnsi="Arial" w:cs="Arial"/>
          <w:lang w:val="fr-FR"/>
        </w:rPr>
        <w:t> »</w:t>
      </w:r>
      <w:r w:rsidR="00BB41B4">
        <w:rPr>
          <w:rFonts w:ascii="Arial" w:hAnsi="Arial" w:cs="Arial"/>
          <w:lang w:val="fr-FR"/>
        </w:rPr>
        <w:t xml:space="preserve">, un des grands dossiers à aborder au cours de la période à venir, </w:t>
      </w:r>
      <w:r w:rsidR="00A85072">
        <w:rPr>
          <w:rFonts w:ascii="Arial" w:hAnsi="Arial" w:cs="Arial"/>
          <w:lang w:val="fr-FR"/>
        </w:rPr>
        <w:t>pourrait</w:t>
      </w:r>
      <w:r w:rsidR="00BB41B4">
        <w:rPr>
          <w:rFonts w:ascii="Arial" w:hAnsi="Arial" w:cs="Arial"/>
          <w:lang w:val="fr-FR"/>
        </w:rPr>
        <w:t xml:space="preserve"> </w:t>
      </w:r>
      <w:r w:rsidR="00B219FC">
        <w:rPr>
          <w:rFonts w:ascii="Arial" w:hAnsi="Arial" w:cs="Arial"/>
          <w:lang w:val="fr-FR"/>
        </w:rPr>
        <w:t xml:space="preserve"> également </w:t>
      </w:r>
      <w:r w:rsidR="00BB41B4">
        <w:rPr>
          <w:rFonts w:ascii="Arial" w:hAnsi="Arial" w:cs="Arial"/>
          <w:lang w:val="fr-FR"/>
        </w:rPr>
        <w:t xml:space="preserve">contribuer de </w:t>
      </w:r>
      <w:r w:rsidR="00A85072">
        <w:rPr>
          <w:rFonts w:ascii="Arial" w:hAnsi="Arial" w:cs="Arial"/>
          <w:lang w:val="fr-FR"/>
        </w:rPr>
        <w:t>manière positive à l’évolution</w:t>
      </w:r>
      <w:r w:rsidR="001F5768">
        <w:rPr>
          <w:rFonts w:ascii="Arial" w:hAnsi="Arial" w:cs="Arial"/>
          <w:lang w:val="fr-FR"/>
        </w:rPr>
        <w:t xml:space="preserve"> future</w:t>
      </w:r>
      <w:r w:rsidR="00A85072">
        <w:rPr>
          <w:rFonts w:ascii="Arial" w:hAnsi="Arial" w:cs="Arial"/>
          <w:lang w:val="fr-FR"/>
        </w:rPr>
        <w:t xml:space="preserve"> de ce pilier.</w:t>
      </w:r>
    </w:p>
    <w:p w:rsidR="002872C6" w:rsidRDefault="002872C6" w:rsidP="00BE54ED">
      <w:pPr>
        <w:spacing w:after="0" w:line="259" w:lineRule="auto"/>
        <w:jc w:val="both"/>
        <w:rPr>
          <w:rFonts w:ascii="Arial" w:hAnsi="Arial" w:cs="Arial"/>
          <w:lang w:val="fr-FR"/>
        </w:rPr>
      </w:pPr>
    </w:p>
    <w:p w:rsidR="00B219FC" w:rsidRDefault="00724CBC" w:rsidP="00BE54ED">
      <w:pPr>
        <w:spacing w:after="0" w:line="259" w:lineRule="auto"/>
        <w:jc w:val="both"/>
        <w:rPr>
          <w:rFonts w:ascii="Arial" w:hAnsi="Arial" w:cs="Arial"/>
          <w:lang w:val="fr-FR"/>
        </w:rPr>
      </w:pPr>
      <w:r>
        <w:rPr>
          <w:rFonts w:ascii="Arial" w:hAnsi="Arial" w:cs="Arial"/>
          <w:lang w:val="fr-FR"/>
        </w:rPr>
        <w:lastRenderedPageBreak/>
        <w:t>Le</w:t>
      </w:r>
      <w:r w:rsidR="00BF6A95">
        <w:rPr>
          <w:rFonts w:ascii="Arial" w:hAnsi="Arial" w:cs="Arial"/>
          <w:lang w:val="fr-FR"/>
        </w:rPr>
        <w:t xml:space="preserve"> pilier relatif au</w:t>
      </w:r>
      <w:r w:rsidR="00BF6A95" w:rsidRPr="00E550A9">
        <w:rPr>
          <w:rFonts w:ascii="Arial" w:hAnsi="Arial" w:cs="Arial"/>
          <w:lang w:val="fr-FR"/>
        </w:rPr>
        <w:t xml:space="preserve"> </w:t>
      </w:r>
      <w:r w:rsidR="00BF6A95" w:rsidRPr="00826692">
        <w:rPr>
          <w:rFonts w:ascii="Arial" w:hAnsi="Arial" w:cs="Arial"/>
          <w:b/>
          <w:lang w:val="fr-FR"/>
        </w:rPr>
        <w:t>marché du travail</w:t>
      </w:r>
      <w:r w:rsidR="003B18CF">
        <w:rPr>
          <w:rFonts w:ascii="Arial" w:hAnsi="Arial" w:cs="Arial"/>
          <w:lang w:val="fr-FR"/>
        </w:rPr>
        <w:t>, quant à lui,</w:t>
      </w:r>
      <w:r>
        <w:rPr>
          <w:rFonts w:ascii="Arial" w:hAnsi="Arial" w:cs="Arial"/>
          <w:lang w:val="fr-FR"/>
        </w:rPr>
        <w:t xml:space="preserve"> bénéficie d’une </w:t>
      </w:r>
      <w:r w:rsidR="000A5647">
        <w:rPr>
          <w:rFonts w:ascii="Arial" w:hAnsi="Arial" w:cs="Arial"/>
          <w:lang w:val="fr-FR"/>
        </w:rPr>
        <w:t>amélioration</w:t>
      </w:r>
      <w:r>
        <w:rPr>
          <w:rFonts w:ascii="Arial" w:hAnsi="Arial" w:cs="Arial"/>
          <w:lang w:val="fr-FR"/>
        </w:rPr>
        <w:t xml:space="preserve"> (+4 ; </w:t>
      </w:r>
      <w:r w:rsidR="00C93F75">
        <w:rPr>
          <w:rFonts w:ascii="Arial" w:hAnsi="Arial" w:cs="Arial"/>
          <w:lang w:val="fr-FR"/>
        </w:rPr>
        <w:t>16</w:t>
      </w:r>
      <w:r w:rsidR="00C93F75" w:rsidRPr="00C93F75">
        <w:rPr>
          <w:rFonts w:ascii="Arial" w:hAnsi="Arial" w:cs="Arial"/>
          <w:vertAlign w:val="superscript"/>
          <w:lang w:val="fr-FR"/>
        </w:rPr>
        <w:t>e</w:t>
      </w:r>
      <w:r w:rsidR="00C93F75">
        <w:rPr>
          <w:rFonts w:ascii="Arial" w:hAnsi="Arial" w:cs="Arial"/>
          <w:lang w:val="fr-FR"/>
        </w:rPr>
        <w:t xml:space="preserve"> place) par rappo</w:t>
      </w:r>
      <w:r w:rsidR="00BC7B83">
        <w:rPr>
          <w:rFonts w:ascii="Arial" w:hAnsi="Arial" w:cs="Arial"/>
          <w:lang w:val="fr-FR"/>
        </w:rPr>
        <w:t>rt à son positionnement de 201</w:t>
      </w:r>
      <w:r w:rsidR="009E6C96">
        <w:rPr>
          <w:rFonts w:ascii="Arial" w:hAnsi="Arial" w:cs="Arial"/>
          <w:lang w:val="fr-FR"/>
        </w:rPr>
        <w:t xml:space="preserve">3. Ce résultat </w:t>
      </w:r>
      <w:r w:rsidR="000A5647">
        <w:rPr>
          <w:rFonts w:ascii="Arial" w:hAnsi="Arial" w:cs="Arial"/>
          <w:lang w:val="fr-FR"/>
        </w:rPr>
        <w:t>s’explique notamment grâce</w:t>
      </w:r>
      <w:r w:rsidR="009E6C96">
        <w:rPr>
          <w:rFonts w:ascii="Arial" w:hAnsi="Arial" w:cs="Arial"/>
          <w:lang w:val="fr-FR"/>
        </w:rPr>
        <w:t xml:space="preserve"> à </w:t>
      </w:r>
      <w:r w:rsidR="007868BE">
        <w:rPr>
          <w:rFonts w:ascii="Arial" w:hAnsi="Arial" w:cs="Arial"/>
          <w:lang w:val="fr-FR"/>
        </w:rPr>
        <w:t>une meilleure évaluation</w:t>
      </w:r>
      <w:r w:rsidR="00E931DE">
        <w:rPr>
          <w:rFonts w:ascii="Arial" w:hAnsi="Arial" w:cs="Arial"/>
          <w:lang w:val="fr-FR"/>
        </w:rPr>
        <w:t xml:space="preserve"> des chefs d’entreprise</w:t>
      </w:r>
      <w:r w:rsidR="007868BE">
        <w:rPr>
          <w:rFonts w:ascii="Arial" w:hAnsi="Arial" w:cs="Arial"/>
          <w:lang w:val="fr-FR"/>
        </w:rPr>
        <w:t xml:space="preserve"> de la</w:t>
      </w:r>
      <w:r w:rsidR="009E6C96">
        <w:rPr>
          <w:rFonts w:ascii="Arial" w:hAnsi="Arial" w:cs="Arial"/>
          <w:lang w:val="fr-FR"/>
        </w:rPr>
        <w:t xml:space="preserve"> p</w:t>
      </w:r>
      <w:r w:rsidR="00C51F3D">
        <w:rPr>
          <w:rFonts w:ascii="Arial" w:hAnsi="Arial" w:cs="Arial"/>
          <w:lang w:val="fr-FR"/>
        </w:rPr>
        <w:t>ratique d’embauche et de licenciement</w:t>
      </w:r>
      <w:r w:rsidR="00BC7B83">
        <w:rPr>
          <w:rFonts w:ascii="Arial" w:hAnsi="Arial" w:cs="Arial"/>
          <w:lang w:val="fr-FR"/>
        </w:rPr>
        <w:t xml:space="preserve"> (+29 ; 87</w:t>
      </w:r>
      <w:r w:rsidR="00BC7B83" w:rsidRPr="00BC7B83">
        <w:rPr>
          <w:rFonts w:ascii="Arial" w:hAnsi="Arial" w:cs="Arial"/>
          <w:vertAlign w:val="superscript"/>
          <w:lang w:val="fr-FR"/>
        </w:rPr>
        <w:t>e</w:t>
      </w:r>
      <w:r w:rsidR="009E6C96">
        <w:rPr>
          <w:rFonts w:ascii="Arial" w:hAnsi="Arial" w:cs="Arial"/>
          <w:lang w:val="fr-FR"/>
        </w:rPr>
        <w:t xml:space="preserve"> place)</w:t>
      </w:r>
      <w:r w:rsidR="00E931DE">
        <w:rPr>
          <w:rFonts w:ascii="Arial" w:hAnsi="Arial" w:cs="Arial"/>
          <w:lang w:val="fr-FR"/>
        </w:rPr>
        <w:t xml:space="preserve">. </w:t>
      </w:r>
      <w:r w:rsidR="00C93F75">
        <w:rPr>
          <w:rFonts w:ascii="Arial" w:hAnsi="Arial" w:cs="Arial"/>
          <w:lang w:val="fr-FR"/>
        </w:rPr>
        <w:t xml:space="preserve">Toutefois, </w:t>
      </w:r>
      <w:r w:rsidR="00B219FC">
        <w:rPr>
          <w:rFonts w:ascii="Arial" w:hAnsi="Arial" w:cs="Arial"/>
          <w:lang w:val="fr-FR"/>
        </w:rPr>
        <w:t>l’étude</w:t>
      </w:r>
      <w:r w:rsidR="00E931DE">
        <w:rPr>
          <w:rFonts w:ascii="Arial" w:hAnsi="Arial" w:cs="Arial"/>
          <w:lang w:val="fr-FR"/>
        </w:rPr>
        <w:t xml:space="preserve"> du WEF</w:t>
      </w:r>
      <w:r w:rsidR="00B219FC">
        <w:rPr>
          <w:rFonts w:ascii="Arial" w:hAnsi="Arial" w:cs="Arial"/>
          <w:lang w:val="fr-FR"/>
        </w:rPr>
        <w:t xml:space="preserve"> constate</w:t>
      </w:r>
      <w:r w:rsidR="00C93F75">
        <w:rPr>
          <w:rFonts w:ascii="Arial" w:hAnsi="Arial" w:cs="Arial"/>
          <w:lang w:val="fr-FR"/>
        </w:rPr>
        <w:t xml:space="preserve"> que le Luxembourg </w:t>
      </w:r>
      <w:r w:rsidR="00C97310">
        <w:rPr>
          <w:rFonts w:ascii="Arial" w:hAnsi="Arial" w:cs="Arial"/>
          <w:lang w:val="fr-FR"/>
        </w:rPr>
        <w:t xml:space="preserve">n’arrive </w:t>
      </w:r>
      <w:r w:rsidR="009E6C96">
        <w:rPr>
          <w:rFonts w:ascii="Arial" w:hAnsi="Arial" w:cs="Arial"/>
          <w:lang w:val="fr-FR"/>
        </w:rPr>
        <w:t xml:space="preserve">toujours </w:t>
      </w:r>
      <w:r w:rsidR="00C97310">
        <w:rPr>
          <w:rFonts w:ascii="Arial" w:hAnsi="Arial" w:cs="Arial"/>
          <w:lang w:val="fr-FR"/>
        </w:rPr>
        <w:t>pas à progresser au niveau de</w:t>
      </w:r>
      <w:r w:rsidR="00982584">
        <w:rPr>
          <w:rFonts w:ascii="Arial" w:hAnsi="Arial" w:cs="Arial"/>
          <w:lang w:val="fr-FR"/>
        </w:rPr>
        <w:t xml:space="preserve">s </w:t>
      </w:r>
      <w:r w:rsidR="00B219FC">
        <w:rPr>
          <w:rFonts w:ascii="Arial" w:hAnsi="Arial" w:cs="Arial"/>
          <w:lang w:val="fr-FR"/>
        </w:rPr>
        <w:t xml:space="preserve">coûts </w:t>
      </w:r>
      <w:r w:rsidR="00982584">
        <w:rPr>
          <w:rFonts w:ascii="Arial" w:hAnsi="Arial" w:cs="Arial"/>
          <w:lang w:val="fr-FR"/>
        </w:rPr>
        <w:t>de licenciement (101</w:t>
      </w:r>
      <w:r w:rsidR="00982584" w:rsidRPr="00982584">
        <w:rPr>
          <w:rFonts w:ascii="Arial" w:hAnsi="Arial" w:cs="Arial"/>
          <w:vertAlign w:val="superscript"/>
          <w:lang w:val="fr-FR"/>
        </w:rPr>
        <w:t>e</w:t>
      </w:r>
      <w:r w:rsidR="00982584">
        <w:rPr>
          <w:rFonts w:ascii="Arial" w:hAnsi="Arial" w:cs="Arial"/>
          <w:lang w:val="fr-FR"/>
        </w:rPr>
        <w:t xml:space="preserve"> place) et de</w:t>
      </w:r>
      <w:r w:rsidR="00C97310">
        <w:rPr>
          <w:rFonts w:ascii="Arial" w:hAnsi="Arial" w:cs="Arial"/>
          <w:lang w:val="fr-FR"/>
        </w:rPr>
        <w:t xml:space="preserve"> </w:t>
      </w:r>
      <w:r w:rsidR="003B18CF">
        <w:rPr>
          <w:rFonts w:ascii="Arial" w:hAnsi="Arial" w:cs="Arial"/>
          <w:lang w:val="fr-FR"/>
        </w:rPr>
        <w:t>la</w:t>
      </w:r>
      <w:r w:rsidR="00C97310">
        <w:rPr>
          <w:rFonts w:ascii="Arial" w:hAnsi="Arial" w:cs="Arial"/>
          <w:lang w:val="fr-FR"/>
        </w:rPr>
        <w:t xml:space="preserve"> flexibilité dans la détermination des salaires</w:t>
      </w:r>
      <w:r w:rsidR="006F6349">
        <w:rPr>
          <w:rFonts w:ascii="Arial" w:hAnsi="Arial" w:cs="Arial"/>
          <w:lang w:val="fr-FR"/>
        </w:rPr>
        <w:t xml:space="preserve"> (96</w:t>
      </w:r>
      <w:r w:rsidR="006F6349" w:rsidRPr="006F6349">
        <w:rPr>
          <w:rFonts w:ascii="Arial" w:hAnsi="Arial" w:cs="Arial"/>
          <w:vertAlign w:val="superscript"/>
          <w:lang w:val="fr-FR"/>
        </w:rPr>
        <w:t>e</w:t>
      </w:r>
      <w:r w:rsidR="003B18CF">
        <w:rPr>
          <w:rFonts w:ascii="Arial" w:hAnsi="Arial" w:cs="Arial"/>
          <w:lang w:val="fr-FR"/>
        </w:rPr>
        <w:t xml:space="preserve"> place).</w:t>
      </w:r>
      <w:r w:rsidR="006F6349">
        <w:rPr>
          <w:rFonts w:ascii="Arial" w:hAnsi="Arial" w:cs="Arial"/>
          <w:lang w:val="fr-FR"/>
        </w:rPr>
        <w:t xml:space="preserve"> </w:t>
      </w:r>
      <w:r w:rsidR="003B18CF">
        <w:rPr>
          <w:rFonts w:ascii="Arial" w:hAnsi="Arial" w:cs="Arial"/>
          <w:lang w:val="fr-FR"/>
        </w:rPr>
        <w:t xml:space="preserve">Or il s’agit de </w:t>
      </w:r>
      <w:r w:rsidR="006F6349">
        <w:rPr>
          <w:rFonts w:ascii="Arial" w:hAnsi="Arial" w:cs="Arial"/>
          <w:lang w:val="fr-FR"/>
        </w:rPr>
        <w:t>critère</w:t>
      </w:r>
      <w:r w:rsidR="00B219FC">
        <w:rPr>
          <w:rFonts w:ascii="Arial" w:hAnsi="Arial" w:cs="Arial"/>
          <w:lang w:val="fr-FR"/>
        </w:rPr>
        <w:t>s</w:t>
      </w:r>
      <w:r w:rsidR="003B18CF">
        <w:rPr>
          <w:rFonts w:ascii="Arial" w:hAnsi="Arial" w:cs="Arial"/>
          <w:lang w:val="fr-FR"/>
        </w:rPr>
        <w:t xml:space="preserve"> </w:t>
      </w:r>
      <w:r w:rsidR="006F6349">
        <w:rPr>
          <w:rFonts w:ascii="Arial" w:hAnsi="Arial" w:cs="Arial"/>
          <w:lang w:val="fr-FR"/>
        </w:rPr>
        <w:t>cruci</w:t>
      </w:r>
      <w:r w:rsidR="00B219FC">
        <w:rPr>
          <w:rFonts w:ascii="Arial" w:hAnsi="Arial" w:cs="Arial"/>
          <w:lang w:val="fr-FR"/>
        </w:rPr>
        <w:t>aux</w:t>
      </w:r>
      <w:r w:rsidR="003B18CF">
        <w:rPr>
          <w:rFonts w:ascii="Arial" w:hAnsi="Arial" w:cs="Arial"/>
          <w:lang w:val="fr-FR"/>
        </w:rPr>
        <w:t xml:space="preserve"> dans la lutte contre le chômage, pour</w:t>
      </w:r>
      <w:r w:rsidR="006F6349">
        <w:rPr>
          <w:rFonts w:ascii="Arial" w:hAnsi="Arial" w:cs="Arial"/>
          <w:lang w:val="fr-FR"/>
        </w:rPr>
        <w:t xml:space="preserve"> la compétitivité</w:t>
      </w:r>
      <w:r w:rsidR="003B18CF">
        <w:rPr>
          <w:rFonts w:ascii="Arial" w:hAnsi="Arial" w:cs="Arial"/>
          <w:lang w:val="fr-FR"/>
        </w:rPr>
        <w:t xml:space="preserve"> générale</w:t>
      </w:r>
      <w:r w:rsidR="006F6349">
        <w:rPr>
          <w:rFonts w:ascii="Arial" w:hAnsi="Arial" w:cs="Arial"/>
          <w:lang w:val="fr-FR"/>
        </w:rPr>
        <w:t xml:space="preserve"> </w:t>
      </w:r>
      <w:r w:rsidR="003B18CF">
        <w:rPr>
          <w:rFonts w:ascii="Arial" w:hAnsi="Arial" w:cs="Arial"/>
          <w:lang w:val="fr-FR"/>
        </w:rPr>
        <w:t>du pays</w:t>
      </w:r>
      <w:r w:rsidR="00B219FC">
        <w:rPr>
          <w:rFonts w:ascii="Arial" w:hAnsi="Arial" w:cs="Arial"/>
          <w:lang w:val="fr-FR"/>
        </w:rPr>
        <w:t xml:space="preserve"> et</w:t>
      </w:r>
      <w:r w:rsidR="003B18CF">
        <w:rPr>
          <w:rFonts w:ascii="Arial" w:hAnsi="Arial" w:cs="Arial"/>
          <w:lang w:val="fr-FR"/>
        </w:rPr>
        <w:t xml:space="preserve"> pour</w:t>
      </w:r>
      <w:r w:rsidR="00B219FC">
        <w:rPr>
          <w:rFonts w:ascii="Arial" w:hAnsi="Arial" w:cs="Arial"/>
          <w:lang w:val="fr-FR"/>
        </w:rPr>
        <w:t xml:space="preserve"> la </w:t>
      </w:r>
      <w:r w:rsidR="00B108C8">
        <w:rPr>
          <w:rFonts w:ascii="Arial" w:hAnsi="Arial" w:cs="Arial"/>
          <w:lang w:val="fr-FR"/>
        </w:rPr>
        <w:t>fluidité</w:t>
      </w:r>
      <w:r w:rsidR="00B219FC">
        <w:rPr>
          <w:rFonts w:ascii="Arial" w:hAnsi="Arial" w:cs="Arial"/>
          <w:lang w:val="fr-FR"/>
        </w:rPr>
        <w:t xml:space="preserve"> </w:t>
      </w:r>
      <w:r w:rsidR="000A5647">
        <w:rPr>
          <w:rFonts w:ascii="Arial" w:hAnsi="Arial" w:cs="Arial"/>
          <w:lang w:val="fr-FR"/>
        </w:rPr>
        <w:t>du</w:t>
      </w:r>
      <w:r w:rsidR="00B219FC">
        <w:rPr>
          <w:rFonts w:ascii="Arial" w:hAnsi="Arial" w:cs="Arial"/>
          <w:lang w:val="fr-FR"/>
        </w:rPr>
        <w:t xml:space="preserve"> marché de travail, singulièrement dans une phase conjoncturelle actuellement </w:t>
      </w:r>
      <w:r w:rsidR="003B18CF">
        <w:rPr>
          <w:rFonts w:ascii="Arial" w:hAnsi="Arial" w:cs="Arial"/>
          <w:lang w:val="fr-FR"/>
        </w:rPr>
        <w:t>assez favorable au Grand-</w:t>
      </w:r>
      <w:r w:rsidR="000A5647">
        <w:rPr>
          <w:rFonts w:ascii="Arial" w:hAnsi="Arial" w:cs="Arial"/>
          <w:lang w:val="fr-FR"/>
        </w:rPr>
        <w:t>D</w:t>
      </w:r>
      <w:r w:rsidR="003B18CF">
        <w:rPr>
          <w:rFonts w:ascii="Arial" w:hAnsi="Arial" w:cs="Arial"/>
          <w:lang w:val="fr-FR"/>
        </w:rPr>
        <w:t>uché.</w:t>
      </w:r>
      <w:r w:rsidR="009E6C96">
        <w:rPr>
          <w:rFonts w:ascii="Arial" w:hAnsi="Arial" w:cs="Arial"/>
          <w:lang w:val="fr-FR"/>
        </w:rPr>
        <w:t xml:space="preserve"> </w:t>
      </w:r>
    </w:p>
    <w:p w:rsidR="002872C6" w:rsidRDefault="002872C6" w:rsidP="00BE54ED">
      <w:pPr>
        <w:spacing w:after="0" w:line="259" w:lineRule="auto"/>
        <w:jc w:val="both"/>
        <w:rPr>
          <w:rFonts w:ascii="Arial" w:hAnsi="Arial" w:cs="Arial"/>
          <w:lang w:val="fr-FR"/>
        </w:rPr>
      </w:pPr>
    </w:p>
    <w:p w:rsidR="00F92FA6" w:rsidRDefault="00982584" w:rsidP="00BE54ED">
      <w:pPr>
        <w:spacing w:after="0" w:line="259" w:lineRule="auto"/>
        <w:jc w:val="both"/>
        <w:rPr>
          <w:rFonts w:ascii="Arial" w:hAnsi="Arial" w:cs="Arial"/>
          <w:lang w:val="fr-FR"/>
        </w:rPr>
      </w:pPr>
      <w:r>
        <w:rPr>
          <w:rFonts w:ascii="Arial" w:hAnsi="Arial" w:cs="Arial"/>
          <w:lang w:val="fr-FR"/>
        </w:rPr>
        <w:t>Les deux piliers restants, à savoir l’efficac</w:t>
      </w:r>
      <w:r w:rsidR="00826692">
        <w:rPr>
          <w:rFonts w:ascii="Arial" w:hAnsi="Arial" w:cs="Arial"/>
          <w:lang w:val="fr-FR"/>
        </w:rPr>
        <w:t>ité du marché des biens et le d</w:t>
      </w:r>
      <w:r>
        <w:rPr>
          <w:rFonts w:ascii="Arial" w:hAnsi="Arial" w:cs="Arial"/>
          <w:lang w:val="fr-FR"/>
        </w:rPr>
        <w:t>éveloppement du secteur financier</w:t>
      </w:r>
      <w:r w:rsidR="008E60A7">
        <w:rPr>
          <w:rFonts w:ascii="Arial" w:hAnsi="Arial" w:cs="Arial"/>
          <w:lang w:val="fr-FR"/>
        </w:rPr>
        <w:t xml:space="preserve"> ne relèvent aucun changement. Le</w:t>
      </w:r>
      <w:r w:rsidR="00FE6727">
        <w:rPr>
          <w:rFonts w:ascii="Arial" w:hAnsi="Arial" w:cs="Arial"/>
          <w:lang w:val="fr-FR"/>
        </w:rPr>
        <w:t xml:space="preserve"> pilier relatif à </w:t>
      </w:r>
      <w:r w:rsidR="00FE6727" w:rsidRPr="00FE6727">
        <w:rPr>
          <w:rFonts w:ascii="Arial" w:hAnsi="Arial" w:cs="Arial"/>
          <w:b/>
          <w:lang w:val="fr-FR"/>
        </w:rPr>
        <w:t xml:space="preserve">l’efficacité du </w:t>
      </w:r>
      <w:r w:rsidR="003A0539" w:rsidRPr="00FE6727">
        <w:rPr>
          <w:rFonts w:ascii="Arial" w:hAnsi="Arial" w:cs="Arial"/>
          <w:b/>
          <w:lang w:val="fr-FR"/>
        </w:rPr>
        <w:t>marché des biens</w:t>
      </w:r>
      <w:r w:rsidR="000F1AB5">
        <w:rPr>
          <w:rFonts w:ascii="Arial" w:hAnsi="Arial" w:cs="Arial"/>
          <w:lang w:val="fr-FR"/>
        </w:rPr>
        <w:t xml:space="preserve"> demeure </w:t>
      </w:r>
      <w:r w:rsidR="00B219FC">
        <w:rPr>
          <w:rFonts w:ascii="Arial" w:hAnsi="Arial" w:cs="Arial"/>
          <w:lang w:val="fr-FR"/>
        </w:rPr>
        <w:t xml:space="preserve">au </w:t>
      </w:r>
      <w:r w:rsidR="003A0539">
        <w:rPr>
          <w:rFonts w:ascii="Arial" w:hAnsi="Arial" w:cs="Arial"/>
          <w:lang w:val="fr-FR"/>
        </w:rPr>
        <w:t>5</w:t>
      </w:r>
      <w:r w:rsidR="003A0539" w:rsidRPr="003A0539">
        <w:rPr>
          <w:rFonts w:ascii="Arial" w:hAnsi="Arial" w:cs="Arial"/>
          <w:vertAlign w:val="superscript"/>
          <w:lang w:val="fr-FR"/>
        </w:rPr>
        <w:t>e</w:t>
      </w:r>
      <w:r w:rsidR="003A0539">
        <w:rPr>
          <w:rFonts w:ascii="Arial" w:hAnsi="Arial" w:cs="Arial"/>
          <w:lang w:val="fr-FR"/>
        </w:rPr>
        <w:t xml:space="preserve"> </w:t>
      </w:r>
      <w:r w:rsidR="000F1AB5">
        <w:rPr>
          <w:rFonts w:ascii="Arial" w:hAnsi="Arial" w:cs="Arial"/>
          <w:lang w:val="fr-FR"/>
        </w:rPr>
        <w:t>ran</w:t>
      </w:r>
      <w:r w:rsidR="00A10F45">
        <w:rPr>
          <w:rFonts w:ascii="Arial" w:hAnsi="Arial" w:cs="Arial"/>
          <w:lang w:val="fr-FR"/>
        </w:rPr>
        <w:t xml:space="preserve">g. Alors que </w:t>
      </w:r>
      <w:r w:rsidR="00B219FC">
        <w:rPr>
          <w:rFonts w:ascii="Arial" w:hAnsi="Arial" w:cs="Arial"/>
          <w:lang w:val="fr-FR"/>
        </w:rPr>
        <w:t>l’indicateur sous-jacent</w:t>
      </w:r>
      <w:r w:rsidR="00A10F45">
        <w:rPr>
          <w:rFonts w:ascii="Arial" w:hAnsi="Arial" w:cs="Arial"/>
          <w:lang w:val="fr-FR"/>
        </w:rPr>
        <w:t xml:space="preserve"> du degré d’orientation client </w:t>
      </w:r>
      <w:r w:rsidR="000A5647">
        <w:rPr>
          <w:rFonts w:ascii="Arial" w:hAnsi="Arial" w:cs="Arial"/>
          <w:lang w:val="fr-FR"/>
        </w:rPr>
        <w:t>s’</w:t>
      </w:r>
      <w:r w:rsidR="00A10F45">
        <w:rPr>
          <w:rFonts w:ascii="Arial" w:hAnsi="Arial" w:cs="Arial"/>
          <w:lang w:val="fr-FR"/>
        </w:rPr>
        <w:t>améliore</w:t>
      </w:r>
      <w:r w:rsidR="00F030E0">
        <w:rPr>
          <w:rFonts w:ascii="Arial" w:hAnsi="Arial" w:cs="Arial"/>
          <w:lang w:val="fr-FR"/>
        </w:rPr>
        <w:t xml:space="preserve"> (+15 ; 16</w:t>
      </w:r>
      <w:r w:rsidR="00F030E0" w:rsidRPr="00F030E0">
        <w:rPr>
          <w:rFonts w:ascii="Arial" w:hAnsi="Arial" w:cs="Arial"/>
          <w:vertAlign w:val="superscript"/>
          <w:lang w:val="fr-FR"/>
        </w:rPr>
        <w:t>e</w:t>
      </w:r>
      <w:r w:rsidR="00F030E0">
        <w:rPr>
          <w:rFonts w:ascii="Arial" w:hAnsi="Arial" w:cs="Arial"/>
          <w:lang w:val="fr-FR"/>
        </w:rPr>
        <w:t xml:space="preserve"> place), </w:t>
      </w:r>
      <w:r w:rsidR="00A10F45">
        <w:rPr>
          <w:rFonts w:ascii="Arial" w:hAnsi="Arial" w:cs="Arial"/>
          <w:lang w:val="fr-FR"/>
        </w:rPr>
        <w:t xml:space="preserve">force est de constater que les </w:t>
      </w:r>
      <w:r w:rsidR="004810CE">
        <w:rPr>
          <w:rFonts w:ascii="Arial" w:hAnsi="Arial" w:cs="Arial"/>
          <w:lang w:val="fr-FR"/>
        </w:rPr>
        <w:t>sous-indicateurs relatifs au nombre de procédures de lancement d’une entreprise</w:t>
      </w:r>
      <w:r w:rsidR="006D19F0">
        <w:rPr>
          <w:rFonts w:ascii="Arial" w:hAnsi="Arial" w:cs="Arial"/>
          <w:lang w:val="fr-FR"/>
        </w:rPr>
        <w:t xml:space="preserve"> (-10 ; 57</w:t>
      </w:r>
      <w:r w:rsidR="006D19F0" w:rsidRPr="006D19F0">
        <w:rPr>
          <w:rFonts w:ascii="Arial" w:hAnsi="Arial" w:cs="Arial"/>
          <w:vertAlign w:val="superscript"/>
          <w:lang w:val="fr-FR"/>
        </w:rPr>
        <w:t>e</w:t>
      </w:r>
      <w:r w:rsidR="006D19F0">
        <w:rPr>
          <w:rFonts w:ascii="Arial" w:hAnsi="Arial" w:cs="Arial"/>
          <w:lang w:val="fr-FR"/>
        </w:rPr>
        <w:t xml:space="preserve"> place</w:t>
      </w:r>
      <w:r w:rsidR="003B18CF">
        <w:rPr>
          <w:rFonts w:ascii="Arial" w:hAnsi="Arial" w:cs="Arial"/>
          <w:lang w:val="fr-FR"/>
        </w:rPr>
        <w:t>,</w:t>
      </w:r>
      <w:r w:rsidR="00AB6FBA">
        <w:rPr>
          <w:rFonts w:ascii="Arial" w:hAnsi="Arial" w:cs="Arial"/>
          <w:lang w:val="fr-FR"/>
        </w:rPr>
        <w:t xml:space="preserve"> contre une 26</w:t>
      </w:r>
      <w:r w:rsidR="00AB6FBA" w:rsidRPr="00AB6FBA">
        <w:rPr>
          <w:rFonts w:ascii="Arial" w:hAnsi="Arial" w:cs="Arial"/>
          <w:vertAlign w:val="superscript"/>
          <w:lang w:val="fr-FR"/>
        </w:rPr>
        <w:t>e</w:t>
      </w:r>
      <w:r w:rsidR="00AB6FBA">
        <w:rPr>
          <w:rFonts w:ascii="Arial" w:hAnsi="Arial" w:cs="Arial"/>
          <w:lang w:val="fr-FR"/>
        </w:rPr>
        <w:t xml:space="preserve"> place en 2009</w:t>
      </w:r>
      <w:r w:rsidR="006D19F0">
        <w:rPr>
          <w:rFonts w:ascii="Arial" w:hAnsi="Arial" w:cs="Arial"/>
          <w:lang w:val="fr-FR"/>
        </w:rPr>
        <w:t>)</w:t>
      </w:r>
      <w:r w:rsidR="004810CE">
        <w:rPr>
          <w:rFonts w:ascii="Arial" w:hAnsi="Arial" w:cs="Arial"/>
          <w:lang w:val="fr-FR"/>
        </w:rPr>
        <w:t xml:space="preserve"> et au nombre de jours pour créer une entreprise</w:t>
      </w:r>
      <w:r w:rsidR="006D19F0">
        <w:rPr>
          <w:rFonts w:ascii="Arial" w:hAnsi="Arial" w:cs="Arial"/>
          <w:lang w:val="fr-FR"/>
        </w:rPr>
        <w:t xml:space="preserve"> (-5 ; 87</w:t>
      </w:r>
      <w:r w:rsidR="006D19F0" w:rsidRPr="006D19F0">
        <w:rPr>
          <w:rFonts w:ascii="Arial" w:hAnsi="Arial" w:cs="Arial"/>
          <w:vertAlign w:val="superscript"/>
          <w:lang w:val="fr-FR"/>
        </w:rPr>
        <w:t>e</w:t>
      </w:r>
      <w:r w:rsidR="006D19F0">
        <w:rPr>
          <w:rFonts w:ascii="Arial" w:hAnsi="Arial" w:cs="Arial"/>
          <w:lang w:val="fr-FR"/>
        </w:rPr>
        <w:t xml:space="preserve"> place</w:t>
      </w:r>
      <w:r w:rsidR="00AB6FBA">
        <w:rPr>
          <w:rFonts w:ascii="Arial" w:hAnsi="Arial" w:cs="Arial"/>
          <w:lang w:val="fr-FR"/>
        </w:rPr>
        <w:t xml:space="preserve"> contre une </w:t>
      </w:r>
      <w:r w:rsidR="00AA5BE4">
        <w:rPr>
          <w:rFonts w:ascii="Arial" w:hAnsi="Arial" w:cs="Arial"/>
          <w:lang w:val="fr-FR"/>
        </w:rPr>
        <w:t>70</w:t>
      </w:r>
      <w:r w:rsidR="00AA5BE4" w:rsidRPr="00AA5BE4">
        <w:rPr>
          <w:rFonts w:ascii="Arial" w:hAnsi="Arial" w:cs="Arial"/>
          <w:vertAlign w:val="superscript"/>
          <w:lang w:val="fr-FR"/>
        </w:rPr>
        <w:t>e</w:t>
      </w:r>
      <w:r w:rsidR="00AA5BE4">
        <w:rPr>
          <w:rFonts w:ascii="Arial" w:hAnsi="Arial" w:cs="Arial"/>
          <w:lang w:val="fr-FR"/>
        </w:rPr>
        <w:t xml:space="preserve"> place en 2009</w:t>
      </w:r>
      <w:r w:rsidR="006D19F0">
        <w:rPr>
          <w:rFonts w:ascii="Arial" w:hAnsi="Arial" w:cs="Arial"/>
          <w:lang w:val="fr-FR"/>
        </w:rPr>
        <w:t>) continuent à se dégrader.</w:t>
      </w:r>
      <w:r w:rsidR="00F92FA6">
        <w:rPr>
          <w:rFonts w:ascii="Arial" w:hAnsi="Arial" w:cs="Arial"/>
          <w:lang w:val="fr-FR"/>
        </w:rPr>
        <w:t xml:space="preserve"> Le pilier</w:t>
      </w:r>
      <w:r w:rsidR="003A0539">
        <w:rPr>
          <w:rFonts w:ascii="Arial" w:hAnsi="Arial" w:cs="Arial"/>
          <w:lang w:val="fr-FR"/>
        </w:rPr>
        <w:t xml:space="preserve"> lié au </w:t>
      </w:r>
      <w:r w:rsidR="003A0539" w:rsidRPr="00FE6727">
        <w:rPr>
          <w:rFonts w:ascii="Arial" w:hAnsi="Arial" w:cs="Arial"/>
          <w:b/>
          <w:lang w:val="fr-FR"/>
        </w:rPr>
        <w:t>développement du secteur financier</w:t>
      </w:r>
      <w:r w:rsidR="003A0539">
        <w:rPr>
          <w:rFonts w:ascii="Arial" w:hAnsi="Arial" w:cs="Arial"/>
          <w:lang w:val="fr-FR"/>
        </w:rPr>
        <w:t xml:space="preserve"> occupe de nouveau la 14</w:t>
      </w:r>
      <w:r w:rsidR="003A0539" w:rsidRPr="003A0539">
        <w:rPr>
          <w:rFonts w:ascii="Arial" w:hAnsi="Arial" w:cs="Arial"/>
          <w:vertAlign w:val="superscript"/>
          <w:lang w:val="fr-FR"/>
        </w:rPr>
        <w:t>e</w:t>
      </w:r>
      <w:r w:rsidR="003A0539">
        <w:rPr>
          <w:rFonts w:ascii="Arial" w:hAnsi="Arial" w:cs="Arial"/>
          <w:lang w:val="fr-FR"/>
        </w:rPr>
        <w:t xml:space="preserve"> </w:t>
      </w:r>
      <w:r w:rsidR="00F92FA6">
        <w:rPr>
          <w:rFonts w:ascii="Arial" w:hAnsi="Arial" w:cs="Arial"/>
          <w:lang w:val="fr-FR"/>
        </w:rPr>
        <w:t xml:space="preserve">place. </w:t>
      </w:r>
    </w:p>
    <w:p w:rsidR="000A5647" w:rsidRDefault="000A5647" w:rsidP="00BE54ED">
      <w:pPr>
        <w:spacing w:after="0" w:line="259" w:lineRule="auto"/>
        <w:jc w:val="both"/>
        <w:rPr>
          <w:rFonts w:ascii="Arial" w:hAnsi="Arial" w:cs="Arial"/>
          <w:lang w:val="fr-FR"/>
        </w:rPr>
      </w:pPr>
    </w:p>
    <w:p w:rsidR="00B20E28" w:rsidRDefault="00F92FA6" w:rsidP="00BE54ED">
      <w:pPr>
        <w:spacing w:after="0" w:line="259" w:lineRule="auto"/>
        <w:jc w:val="both"/>
        <w:rPr>
          <w:rFonts w:ascii="Arial" w:hAnsi="Arial" w:cs="Arial"/>
          <w:lang w:val="fr-FR"/>
        </w:rPr>
      </w:pPr>
      <w:r>
        <w:rPr>
          <w:rFonts w:ascii="Arial" w:hAnsi="Arial" w:cs="Arial"/>
          <w:lang w:val="fr-FR"/>
        </w:rPr>
        <w:t xml:space="preserve">Cependant, il convient </w:t>
      </w:r>
      <w:r w:rsidR="00F77C4C">
        <w:rPr>
          <w:rFonts w:ascii="Arial" w:hAnsi="Arial" w:cs="Arial"/>
          <w:lang w:val="fr-FR"/>
        </w:rPr>
        <w:t>de garder à l’esprit que</w:t>
      </w:r>
      <w:r w:rsidR="00575214">
        <w:rPr>
          <w:rFonts w:ascii="Arial" w:hAnsi="Arial" w:cs="Arial"/>
          <w:lang w:val="fr-FR"/>
        </w:rPr>
        <w:t xml:space="preserve"> </w:t>
      </w:r>
      <w:r w:rsidR="00F77C4C">
        <w:rPr>
          <w:rFonts w:ascii="Arial" w:hAnsi="Arial" w:cs="Arial"/>
          <w:lang w:val="fr-FR"/>
        </w:rPr>
        <w:t>les deux piliers ont vu</w:t>
      </w:r>
      <w:r w:rsidR="000F1AB5">
        <w:rPr>
          <w:rFonts w:ascii="Arial" w:hAnsi="Arial" w:cs="Arial"/>
          <w:lang w:val="fr-FR"/>
        </w:rPr>
        <w:t xml:space="preserve"> des meilleurs jours</w:t>
      </w:r>
      <w:r w:rsidR="00F77C4C">
        <w:rPr>
          <w:rFonts w:ascii="Arial" w:hAnsi="Arial" w:cs="Arial"/>
          <w:lang w:val="fr-FR"/>
        </w:rPr>
        <w:t>, le premier ayant figuré à la 2</w:t>
      </w:r>
      <w:r w:rsidR="00F77C4C" w:rsidRPr="00F77C4C">
        <w:rPr>
          <w:rFonts w:ascii="Arial" w:hAnsi="Arial" w:cs="Arial"/>
          <w:vertAlign w:val="superscript"/>
          <w:lang w:val="fr-FR"/>
        </w:rPr>
        <w:t>e</w:t>
      </w:r>
      <w:r w:rsidR="00F77C4C">
        <w:rPr>
          <w:rFonts w:ascii="Arial" w:hAnsi="Arial" w:cs="Arial"/>
          <w:lang w:val="fr-FR"/>
        </w:rPr>
        <w:t xml:space="preserve"> place en 2011 et le deuxième à la 6</w:t>
      </w:r>
      <w:r w:rsidR="00F77C4C" w:rsidRPr="00F77C4C">
        <w:rPr>
          <w:rFonts w:ascii="Arial" w:hAnsi="Arial" w:cs="Arial"/>
          <w:vertAlign w:val="superscript"/>
          <w:lang w:val="fr-FR"/>
        </w:rPr>
        <w:t>e</w:t>
      </w:r>
      <w:r w:rsidR="00F77C4C">
        <w:rPr>
          <w:rFonts w:ascii="Arial" w:hAnsi="Arial" w:cs="Arial"/>
          <w:lang w:val="fr-FR"/>
        </w:rPr>
        <w:t xml:space="preserve"> place en 2010.</w:t>
      </w:r>
    </w:p>
    <w:p w:rsidR="00B219FC" w:rsidRDefault="00B219FC" w:rsidP="00BE54ED">
      <w:pPr>
        <w:spacing w:after="0" w:line="259" w:lineRule="auto"/>
        <w:rPr>
          <w:rFonts w:ascii="Arial" w:hAnsi="Arial" w:cs="Arial"/>
          <w:b/>
          <w:szCs w:val="20"/>
        </w:rPr>
      </w:pPr>
    </w:p>
    <w:p w:rsidR="00060577" w:rsidRDefault="00060577" w:rsidP="00BE54ED">
      <w:pPr>
        <w:spacing w:after="0" w:line="259" w:lineRule="auto"/>
        <w:rPr>
          <w:rFonts w:ascii="Arial" w:hAnsi="Arial" w:cs="Arial"/>
          <w:b/>
          <w:szCs w:val="20"/>
          <w:highlight w:val="magenta"/>
        </w:rPr>
      </w:pPr>
      <w:r>
        <w:rPr>
          <w:rFonts w:ascii="Arial" w:hAnsi="Arial" w:cs="Arial"/>
          <w:b/>
          <w:szCs w:val="20"/>
        </w:rPr>
        <w:t>VECTEURS D’INNOVATION</w:t>
      </w:r>
      <w:r w:rsidRPr="00E17EE3">
        <w:rPr>
          <w:rFonts w:ascii="Arial" w:hAnsi="Arial" w:cs="Arial"/>
          <w:b/>
          <w:szCs w:val="20"/>
          <w:highlight w:val="magenta"/>
        </w:rPr>
        <w:br/>
      </w:r>
      <w:r w:rsidR="00E07D01">
        <w:rPr>
          <w:rFonts w:ascii="Arial" w:hAnsi="Arial" w:cs="Arial"/>
          <w:b/>
          <w:szCs w:val="20"/>
        </w:rPr>
        <w:t>La sophistication peut faire mieux, l’innovation doit faire mieux !</w:t>
      </w:r>
    </w:p>
    <w:p w:rsidR="00B20E28" w:rsidRPr="00E17EE3" w:rsidRDefault="00B20E28" w:rsidP="00BE54ED">
      <w:pPr>
        <w:spacing w:after="0" w:line="259" w:lineRule="auto"/>
        <w:rPr>
          <w:rFonts w:ascii="Arial" w:hAnsi="Arial" w:cs="Arial"/>
          <w:b/>
          <w:szCs w:val="20"/>
          <w:highlight w:val="magenta"/>
        </w:rPr>
      </w:pPr>
    </w:p>
    <w:p w:rsidR="00060577" w:rsidRDefault="00406310" w:rsidP="00BE54ED">
      <w:pPr>
        <w:spacing w:after="0" w:line="259" w:lineRule="auto"/>
        <w:jc w:val="both"/>
        <w:rPr>
          <w:rFonts w:ascii="Arial" w:hAnsi="Arial" w:cs="Arial"/>
          <w:b/>
        </w:rPr>
      </w:pPr>
      <w:r w:rsidRPr="00406310">
        <w:rPr>
          <w:noProof/>
          <w:lang w:val="en-US"/>
        </w:rPr>
        <w:drawing>
          <wp:anchor distT="0" distB="0" distL="114300" distR="114300" simplePos="0" relativeHeight="251681792" behindDoc="0" locked="0" layoutInCell="1" allowOverlap="1">
            <wp:simplePos x="0" y="0"/>
            <wp:positionH relativeFrom="column">
              <wp:posOffset>2599763</wp:posOffset>
            </wp:positionH>
            <wp:positionV relativeFrom="paragraph">
              <wp:posOffset>285987</wp:posOffset>
            </wp:positionV>
            <wp:extent cx="3298308" cy="60605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298308" cy="606055"/>
                    </a:xfrm>
                    <a:prstGeom prst="rect">
                      <a:avLst/>
                    </a:prstGeom>
                    <a:noFill/>
                    <a:ln w="9525">
                      <a:noFill/>
                      <a:miter lim="800000"/>
                      <a:headEnd/>
                      <a:tailEnd/>
                    </a:ln>
                  </pic:spPr>
                </pic:pic>
              </a:graphicData>
            </a:graphic>
          </wp:anchor>
        </w:drawing>
      </w:r>
      <w:r w:rsidR="00F55452" w:rsidRPr="00F55452">
        <w:rPr>
          <w:noProof/>
          <w:lang w:val="lb-LU" w:eastAsia="lb-LU"/>
        </w:rPr>
        <w:t xml:space="preserve"> </w:t>
      </w:r>
      <w:r w:rsidR="00F55452" w:rsidRPr="00F55452">
        <w:rPr>
          <w:rFonts w:ascii="Arial" w:hAnsi="Arial" w:cs="Arial"/>
          <w:b/>
          <w:noProof/>
          <w:lang w:val="en-US"/>
        </w:rPr>
        <w:drawing>
          <wp:inline distT="0" distB="0" distL="0" distR="0">
            <wp:extent cx="2400300" cy="1266825"/>
            <wp:effectExtent l="19050" t="0" r="1905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20E28" w:rsidRPr="00B20E28">
        <w:rPr>
          <w:rFonts w:ascii="Arial" w:hAnsi="Arial" w:cs="Arial"/>
          <w:b/>
        </w:rPr>
        <w:t xml:space="preserve"> </w:t>
      </w:r>
    </w:p>
    <w:p w:rsidR="002872C6" w:rsidRDefault="002872C6" w:rsidP="00BE54ED">
      <w:pPr>
        <w:spacing w:after="0" w:line="259" w:lineRule="auto"/>
        <w:rPr>
          <w:rFonts w:ascii="Arial" w:hAnsi="Arial" w:cs="Arial"/>
          <w:b/>
          <w:lang w:val="fr-FR"/>
        </w:rPr>
      </w:pPr>
    </w:p>
    <w:p w:rsidR="00F46C0C" w:rsidRDefault="00187619" w:rsidP="00BE54ED">
      <w:pPr>
        <w:spacing w:after="0" w:line="259" w:lineRule="auto"/>
        <w:rPr>
          <w:rFonts w:ascii="Arial" w:hAnsi="Arial" w:cs="Arial"/>
          <w:b/>
          <w:lang w:val="fr-FR"/>
        </w:rPr>
      </w:pPr>
      <w:r w:rsidRPr="00F46C0C">
        <w:rPr>
          <w:rFonts w:ascii="Arial" w:hAnsi="Arial" w:cs="Arial"/>
          <w:b/>
          <w:lang w:val="fr-FR"/>
        </w:rPr>
        <w:t>Après une position légèrement améliorée en 2013, l’indice des vecteurs d’innovation recule d’une place en 2014.</w:t>
      </w:r>
    </w:p>
    <w:p w:rsidR="002872C6" w:rsidRDefault="002872C6" w:rsidP="00BE54ED">
      <w:pPr>
        <w:spacing w:after="0" w:line="259" w:lineRule="auto"/>
        <w:jc w:val="both"/>
        <w:rPr>
          <w:rFonts w:ascii="Arial" w:hAnsi="Arial" w:cs="Arial"/>
          <w:lang w:val="fr-FR"/>
        </w:rPr>
      </w:pPr>
    </w:p>
    <w:p w:rsidR="008F37C8" w:rsidRPr="0071558B" w:rsidRDefault="00187619" w:rsidP="00BE54ED">
      <w:pPr>
        <w:spacing w:after="0" w:line="259" w:lineRule="auto"/>
        <w:jc w:val="both"/>
        <w:rPr>
          <w:rFonts w:ascii="Arial" w:hAnsi="Arial" w:cs="Arial"/>
          <w:color w:val="FF0000"/>
          <w:lang w:val="fr-FR"/>
        </w:rPr>
      </w:pPr>
      <w:r>
        <w:rPr>
          <w:rFonts w:ascii="Arial" w:hAnsi="Arial" w:cs="Arial"/>
          <w:lang w:val="fr-FR"/>
        </w:rPr>
        <w:t xml:space="preserve">A y regarder </w:t>
      </w:r>
      <w:r w:rsidR="008955D5">
        <w:rPr>
          <w:rFonts w:ascii="Arial" w:hAnsi="Arial" w:cs="Arial"/>
          <w:lang w:val="fr-FR"/>
        </w:rPr>
        <w:t xml:space="preserve">de </w:t>
      </w:r>
      <w:r>
        <w:rPr>
          <w:rFonts w:ascii="Arial" w:hAnsi="Arial" w:cs="Arial"/>
          <w:lang w:val="fr-FR"/>
        </w:rPr>
        <w:t xml:space="preserve">près, les deux piliers afférents </w:t>
      </w:r>
      <w:r w:rsidR="003A23DF">
        <w:rPr>
          <w:rFonts w:ascii="Arial" w:hAnsi="Arial" w:cs="Arial"/>
          <w:lang w:val="fr-FR"/>
        </w:rPr>
        <w:t xml:space="preserve">se sont </w:t>
      </w:r>
      <w:r>
        <w:rPr>
          <w:rFonts w:ascii="Arial" w:hAnsi="Arial" w:cs="Arial"/>
          <w:lang w:val="fr-FR"/>
        </w:rPr>
        <w:t>cependant amélioré</w:t>
      </w:r>
      <w:r w:rsidR="003A23DF">
        <w:rPr>
          <w:rFonts w:ascii="Arial" w:hAnsi="Arial" w:cs="Arial"/>
          <w:lang w:val="fr-FR"/>
        </w:rPr>
        <w:t>s</w:t>
      </w:r>
      <w:r>
        <w:rPr>
          <w:rFonts w:ascii="Arial" w:hAnsi="Arial" w:cs="Arial"/>
          <w:lang w:val="fr-FR"/>
        </w:rPr>
        <w:t xml:space="preserve"> : </w:t>
      </w:r>
      <w:r w:rsidR="007F3ADA">
        <w:rPr>
          <w:rFonts w:ascii="Arial" w:hAnsi="Arial" w:cs="Arial"/>
          <w:lang w:val="fr-FR"/>
        </w:rPr>
        <w:t>au niveau du</w:t>
      </w:r>
      <w:r w:rsidR="00390259">
        <w:rPr>
          <w:rFonts w:ascii="Arial" w:hAnsi="Arial" w:cs="Arial"/>
          <w:lang w:val="fr-FR"/>
        </w:rPr>
        <w:t xml:space="preserve"> </w:t>
      </w:r>
      <w:r w:rsidR="003A23DF">
        <w:rPr>
          <w:rFonts w:ascii="Arial" w:hAnsi="Arial" w:cs="Arial"/>
          <w:lang w:val="fr-FR"/>
        </w:rPr>
        <w:t>pilier</w:t>
      </w:r>
      <w:r w:rsidR="00390259">
        <w:rPr>
          <w:rFonts w:ascii="Arial" w:hAnsi="Arial" w:cs="Arial"/>
          <w:lang w:val="fr-FR"/>
        </w:rPr>
        <w:t xml:space="preserve"> de la </w:t>
      </w:r>
      <w:r w:rsidR="00390259" w:rsidRPr="006C22EF">
        <w:rPr>
          <w:rFonts w:ascii="Arial" w:hAnsi="Arial" w:cs="Arial"/>
          <w:b/>
          <w:lang w:val="fr-FR"/>
        </w:rPr>
        <w:t xml:space="preserve">sophistication des </w:t>
      </w:r>
      <w:r w:rsidR="006C22EF">
        <w:rPr>
          <w:rFonts w:ascii="Arial" w:hAnsi="Arial" w:cs="Arial"/>
          <w:b/>
          <w:lang w:val="fr-FR"/>
        </w:rPr>
        <w:t>entreprises</w:t>
      </w:r>
      <w:r w:rsidR="007F3ADA">
        <w:rPr>
          <w:rFonts w:ascii="Arial" w:hAnsi="Arial" w:cs="Arial"/>
          <w:lang w:val="fr-FR"/>
        </w:rPr>
        <w:t>, le Luxembourg consol</w:t>
      </w:r>
      <w:r w:rsidR="009E4209">
        <w:rPr>
          <w:rFonts w:ascii="Arial" w:hAnsi="Arial" w:cs="Arial"/>
          <w:lang w:val="fr-FR"/>
        </w:rPr>
        <w:t>ide son classement d’une place</w:t>
      </w:r>
      <w:r w:rsidR="00BE7B07">
        <w:rPr>
          <w:rFonts w:ascii="Arial" w:hAnsi="Arial" w:cs="Arial"/>
          <w:lang w:val="fr-FR"/>
        </w:rPr>
        <w:t xml:space="preserve"> (+1 ; 21</w:t>
      </w:r>
      <w:r w:rsidR="00BE7B07" w:rsidRPr="00BE7B07">
        <w:rPr>
          <w:rFonts w:ascii="Arial" w:hAnsi="Arial" w:cs="Arial"/>
          <w:vertAlign w:val="superscript"/>
          <w:lang w:val="fr-FR"/>
        </w:rPr>
        <w:t>e</w:t>
      </w:r>
      <w:r w:rsidR="00BE7B07">
        <w:rPr>
          <w:rFonts w:ascii="Arial" w:hAnsi="Arial" w:cs="Arial"/>
          <w:lang w:val="fr-FR"/>
        </w:rPr>
        <w:t xml:space="preserve"> place)</w:t>
      </w:r>
      <w:r w:rsidR="009E4209">
        <w:rPr>
          <w:rFonts w:ascii="Arial" w:hAnsi="Arial" w:cs="Arial"/>
          <w:lang w:val="fr-FR"/>
        </w:rPr>
        <w:t xml:space="preserve"> et se rapproche donc de son positionnement de</w:t>
      </w:r>
      <w:r w:rsidR="0013760E" w:rsidRPr="00390259">
        <w:rPr>
          <w:rFonts w:ascii="Arial" w:hAnsi="Arial" w:cs="Arial"/>
          <w:lang w:val="fr-FR"/>
        </w:rPr>
        <w:t xml:space="preserve"> 2010 </w:t>
      </w:r>
      <w:r w:rsidR="009E4209">
        <w:rPr>
          <w:rFonts w:ascii="Arial" w:hAnsi="Arial" w:cs="Arial"/>
          <w:lang w:val="fr-FR"/>
        </w:rPr>
        <w:t>(18</w:t>
      </w:r>
      <w:r w:rsidR="009E4209" w:rsidRPr="009E4209">
        <w:rPr>
          <w:rFonts w:ascii="Arial" w:hAnsi="Arial" w:cs="Arial"/>
          <w:vertAlign w:val="superscript"/>
          <w:lang w:val="fr-FR"/>
        </w:rPr>
        <w:t>e</w:t>
      </w:r>
      <w:r w:rsidR="009E4209">
        <w:rPr>
          <w:rFonts w:ascii="Arial" w:hAnsi="Arial" w:cs="Arial"/>
          <w:lang w:val="fr-FR"/>
        </w:rPr>
        <w:t xml:space="preserve"> place)</w:t>
      </w:r>
      <w:r w:rsidR="00545385">
        <w:rPr>
          <w:rFonts w:ascii="Arial" w:hAnsi="Arial" w:cs="Arial"/>
          <w:lang w:val="fr-FR"/>
        </w:rPr>
        <w:t xml:space="preserve">, alors </w:t>
      </w:r>
      <w:r w:rsidR="00BE7B07">
        <w:rPr>
          <w:rFonts w:ascii="Arial" w:hAnsi="Arial" w:cs="Arial"/>
          <w:lang w:val="fr-FR"/>
        </w:rPr>
        <w:t>qu</w:t>
      </w:r>
      <w:r w:rsidR="00F46C0C">
        <w:rPr>
          <w:rFonts w:ascii="Arial" w:hAnsi="Arial" w:cs="Arial"/>
          <w:lang w:val="fr-FR"/>
        </w:rPr>
        <w:t xml:space="preserve">e </w:t>
      </w:r>
      <w:r w:rsidR="0024401C">
        <w:rPr>
          <w:rFonts w:ascii="Arial" w:hAnsi="Arial" w:cs="Arial"/>
          <w:lang w:val="fr-FR"/>
        </w:rPr>
        <w:t xml:space="preserve">des inefficiences subsistent </w:t>
      </w:r>
      <w:r w:rsidR="00545385">
        <w:rPr>
          <w:rFonts w:ascii="Arial" w:hAnsi="Arial" w:cs="Arial"/>
          <w:lang w:val="fr-FR"/>
        </w:rPr>
        <w:t xml:space="preserve">notamment </w:t>
      </w:r>
      <w:r w:rsidR="00F46C0C">
        <w:rPr>
          <w:rFonts w:ascii="Arial" w:hAnsi="Arial" w:cs="Arial"/>
          <w:lang w:val="fr-FR"/>
        </w:rPr>
        <w:t xml:space="preserve">au niveau des </w:t>
      </w:r>
      <w:r w:rsidR="00B219FC">
        <w:rPr>
          <w:rFonts w:ascii="Arial" w:hAnsi="Arial" w:cs="Arial"/>
          <w:lang w:val="fr-FR"/>
        </w:rPr>
        <w:t>indicateurs</w:t>
      </w:r>
      <w:r w:rsidR="00BE7B07">
        <w:rPr>
          <w:rFonts w:ascii="Arial" w:hAnsi="Arial" w:cs="Arial"/>
          <w:lang w:val="fr-FR"/>
        </w:rPr>
        <w:t xml:space="preserve"> concernant la </w:t>
      </w:r>
      <w:r w:rsidR="00BE7B07" w:rsidRPr="000A5647">
        <w:rPr>
          <w:rFonts w:ascii="Arial" w:hAnsi="Arial" w:cs="Arial"/>
          <w:u w:val="single"/>
          <w:lang w:val="fr-FR"/>
        </w:rPr>
        <w:t>quantité</w:t>
      </w:r>
      <w:r w:rsidR="00BE7B07">
        <w:rPr>
          <w:rFonts w:ascii="Arial" w:hAnsi="Arial" w:cs="Arial"/>
          <w:lang w:val="fr-FR"/>
        </w:rPr>
        <w:t xml:space="preserve"> de fournisseurs locaux </w:t>
      </w:r>
      <w:r w:rsidR="00B71A62">
        <w:rPr>
          <w:rFonts w:ascii="Arial" w:hAnsi="Arial" w:cs="Arial"/>
          <w:lang w:val="fr-FR"/>
        </w:rPr>
        <w:t>(121</w:t>
      </w:r>
      <w:r w:rsidR="00B71A62" w:rsidRPr="00B71A62">
        <w:rPr>
          <w:rFonts w:ascii="Arial" w:hAnsi="Arial" w:cs="Arial"/>
          <w:vertAlign w:val="superscript"/>
          <w:lang w:val="fr-FR"/>
        </w:rPr>
        <w:t>e</w:t>
      </w:r>
      <w:r w:rsidR="00B71A62">
        <w:rPr>
          <w:rFonts w:ascii="Arial" w:hAnsi="Arial" w:cs="Arial"/>
          <w:lang w:val="fr-FR"/>
        </w:rPr>
        <w:t xml:space="preserve"> place)</w:t>
      </w:r>
      <w:r w:rsidR="000A5647">
        <w:rPr>
          <w:rFonts w:ascii="Arial" w:hAnsi="Arial" w:cs="Arial"/>
          <w:lang w:val="fr-FR"/>
        </w:rPr>
        <w:t xml:space="preserve">, en non leur </w:t>
      </w:r>
      <w:r w:rsidR="000A5647" w:rsidRPr="000A5647">
        <w:rPr>
          <w:rFonts w:ascii="Arial" w:hAnsi="Arial" w:cs="Arial"/>
          <w:u w:val="single"/>
          <w:lang w:val="fr-FR"/>
        </w:rPr>
        <w:t>qualité</w:t>
      </w:r>
      <w:r w:rsidR="000A5647">
        <w:rPr>
          <w:rFonts w:ascii="Arial" w:hAnsi="Arial" w:cs="Arial"/>
          <w:lang w:val="fr-FR"/>
        </w:rPr>
        <w:t xml:space="preserve"> (17</w:t>
      </w:r>
      <w:r w:rsidR="000A5647" w:rsidRPr="000A5647">
        <w:rPr>
          <w:rFonts w:ascii="Arial" w:hAnsi="Arial" w:cs="Arial"/>
          <w:vertAlign w:val="superscript"/>
          <w:lang w:val="fr-FR"/>
        </w:rPr>
        <w:t>e</w:t>
      </w:r>
      <w:r w:rsidR="000A5647">
        <w:rPr>
          <w:rFonts w:ascii="Arial" w:hAnsi="Arial" w:cs="Arial"/>
          <w:lang w:val="fr-FR"/>
        </w:rPr>
        <w:t xml:space="preserve"> rang, gain de 6 places)</w:t>
      </w:r>
      <w:r w:rsidR="00545385">
        <w:rPr>
          <w:rFonts w:ascii="Arial" w:hAnsi="Arial" w:cs="Arial"/>
          <w:lang w:val="fr-FR"/>
        </w:rPr>
        <w:t>.</w:t>
      </w:r>
    </w:p>
    <w:p w:rsidR="002872C6" w:rsidRDefault="002872C6" w:rsidP="00BE54ED">
      <w:pPr>
        <w:spacing w:after="0" w:line="259" w:lineRule="auto"/>
        <w:jc w:val="both"/>
        <w:rPr>
          <w:rFonts w:ascii="Arial" w:hAnsi="Arial" w:cs="Arial"/>
          <w:lang w:val="fr-FR"/>
        </w:rPr>
      </w:pPr>
    </w:p>
    <w:p w:rsidR="00366972" w:rsidRDefault="00366972" w:rsidP="00BE54ED">
      <w:pPr>
        <w:spacing w:after="0" w:line="259" w:lineRule="auto"/>
        <w:jc w:val="both"/>
        <w:rPr>
          <w:rFonts w:ascii="Arial" w:hAnsi="Arial" w:cs="Arial"/>
          <w:lang w:val="fr-FR"/>
        </w:rPr>
      </w:pPr>
      <w:r>
        <w:rPr>
          <w:rFonts w:ascii="Arial" w:hAnsi="Arial" w:cs="Arial"/>
          <w:lang w:val="fr-FR"/>
        </w:rPr>
        <w:t>Le</w:t>
      </w:r>
      <w:r w:rsidR="008955D5">
        <w:rPr>
          <w:rFonts w:ascii="Arial" w:hAnsi="Arial" w:cs="Arial"/>
          <w:lang w:val="fr-FR"/>
        </w:rPr>
        <w:t xml:space="preserve"> pilier de </w:t>
      </w:r>
      <w:r w:rsidR="008955D5" w:rsidRPr="00F626FF">
        <w:rPr>
          <w:rFonts w:ascii="Arial" w:hAnsi="Arial" w:cs="Arial"/>
          <w:b/>
          <w:lang w:val="fr-FR"/>
        </w:rPr>
        <w:t>l’innovation</w:t>
      </w:r>
      <w:r w:rsidR="008955D5">
        <w:rPr>
          <w:rFonts w:ascii="Arial" w:hAnsi="Arial" w:cs="Arial"/>
          <w:lang w:val="fr-FR"/>
        </w:rPr>
        <w:t xml:space="preserve"> </w:t>
      </w:r>
      <w:r w:rsidR="004427E6">
        <w:rPr>
          <w:rFonts w:ascii="Arial" w:hAnsi="Arial" w:cs="Arial"/>
          <w:lang w:val="fr-FR"/>
        </w:rPr>
        <w:t>enregistre un avancement de 2 places (16</w:t>
      </w:r>
      <w:r w:rsidR="004427E6" w:rsidRPr="004427E6">
        <w:rPr>
          <w:rFonts w:ascii="Arial" w:hAnsi="Arial" w:cs="Arial"/>
          <w:vertAlign w:val="superscript"/>
          <w:lang w:val="fr-FR"/>
        </w:rPr>
        <w:t>e</w:t>
      </w:r>
      <w:r w:rsidR="000E587F">
        <w:rPr>
          <w:rFonts w:ascii="Arial" w:hAnsi="Arial" w:cs="Arial"/>
          <w:lang w:val="fr-FR"/>
        </w:rPr>
        <w:t xml:space="preserve"> </w:t>
      </w:r>
      <w:r w:rsidR="003B18CF">
        <w:rPr>
          <w:rFonts w:ascii="Arial" w:hAnsi="Arial" w:cs="Arial"/>
          <w:lang w:val="fr-FR"/>
        </w:rPr>
        <w:t>rang</w:t>
      </w:r>
      <w:r w:rsidR="000E587F">
        <w:rPr>
          <w:rFonts w:ascii="Arial" w:hAnsi="Arial" w:cs="Arial"/>
          <w:lang w:val="fr-FR"/>
        </w:rPr>
        <w:t>).</w:t>
      </w:r>
      <w:r w:rsidR="00FC6EC3">
        <w:rPr>
          <w:rFonts w:ascii="Arial" w:hAnsi="Arial" w:cs="Arial"/>
          <w:lang w:val="fr-FR"/>
        </w:rPr>
        <w:t xml:space="preserve"> </w:t>
      </w:r>
      <w:r w:rsidR="009F6D10">
        <w:rPr>
          <w:rFonts w:ascii="Arial" w:hAnsi="Arial" w:cs="Arial"/>
          <w:lang w:val="fr-FR"/>
        </w:rPr>
        <w:t>Au niveau de sa capacité d’innovation, le Luxembourg a progressé de 2 places (9</w:t>
      </w:r>
      <w:r w:rsidR="009F6D10" w:rsidRPr="009F6D10">
        <w:rPr>
          <w:rFonts w:ascii="Arial" w:hAnsi="Arial" w:cs="Arial"/>
          <w:vertAlign w:val="superscript"/>
          <w:lang w:val="fr-FR"/>
        </w:rPr>
        <w:t>e</w:t>
      </w:r>
      <w:r w:rsidR="009F6D10">
        <w:rPr>
          <w:rFonts w:ascii="Arial" w:hAnsi="Arial" w:cs="Arial"/>
          <w:lang w:val="fr-FR"/>
        </w:rPr>
        <w:t xml:space="preserve"> </w:t>
      </w:r>
      <w:r w:rsidR="003B18CF">
        <w:rPr>
          <w:rFonts w:ascii="Arial" w:hAnsi="Arial" w:cs="Arial"/>
          <w:lang w:val="fr-FR"/>
        </w:rPr>
        <w:t>rang</w:t>
      </w:r>
      <w:r w:rsidR="009F6D10">
        <w:rPr>
          <w:rFonts w:ascii="Arial" w:hAnsi="Arial" w:cs="Arial"/>
          <w:lang w:val="fr-FR"/>
        </w:rPr>
        <w:t xml:space="preserve">). </w:t>
      </w:r>
      <w:r w:rsidR="007F2F7F">
        <w:rPr>
          <w:rFonts w:ascii="Arial" w:hAnsi="Arial" w:cs="Arial"/>
          <w:lang w:val="fr-FR"/>
        </w:rPr>
        <w:t xml:space="preserve">Pourtant, </w:t>
      </w:r>
      <w:r w:rsidR="003B18CF">
        <w:rPr>
          <w:rFonts w:ascii="Arial" w:hAnsi="Arial" w:cs="Arial"/>
          <w:lang w:val="fr-FR"/>
        </w:rPr>
        <w:t>la</w:t>
      </w:r>
      <w:r w:rsidR="003B0A65">
        <w:rPr>
          <w:rFonts w:ascii="Arial" w:hAnsi="Arial" w:cs="Arial"/>
          <w:lang w:val="fr-FR"/>
        </w:rPr>
        <w:t xml:space="preserve"> note du Luxembourg pour sa disponibilité d’ingénieurs et de scientifiques </w:t>
      </w:r>
      <w:r w:rsidR="00FC6EC3">
        <w:rPr>
          <w:rFonts w:ascii="Arial" w:hAnsi="Arial" w:cs="Arial"/>
          <w:lang w:val="fr-FR"/>
        </w:rPr>
        <w:t xml:space="preserve">demeure </w:t>
      </w:r>
      <w:r w:rsidR="003A23DF">
        <w:rPr>
          <w:rFonts w:ascii="Arial" w:hAnsi="Arial" w:cs="Arial"/>
          <w:lang w:val="fr-FR"/>
        </w:rPr>
        <w:t>inquiétante</w:t>
      </w:r>
      <w:r w:rsidR="003B0A65">
        <w:rPr>
          <w:rFonts w:ascii="Arial" w:hAnsi="Arial" w:cs="Arial"/>
          <w:lang w:val="fr-FR"/>
        </w:rPr>
        <w:t xml:space="preserve"> malgré un avancement de 10 places (</w:t>
      </w:r>
      <w:r w:rsidR="007F2F7F">
        <w:rPr>
          <w:rFonts w:ascii="Arial" w:hAnsi="Arial" w:cs="Arial"/>
          <w:lang w:val="fr-FR"/>
        </w:rPr>
        <w:t>52</w:t>
      </w:r>
      <w:r w:rsidR="007F2F7F" w:rsidRPr="007F2F7F">
        <w:rPr>
          <w:rFonts w:ascii="Arial" w:hAnsi="Arial" w:cs="Arial"/>
          <w:vertAlign w:val="superscript"/>
          <w:lang w:val="fr-FR"/>
        </w:rPr>
        <w:t>e</w:t>
      </w:r>
      <w:r w:rsidR="007F2F7F">
        <w:rPr>
          <w:rFonts w:ascii="Arial" w:hAnsi="Arial" w:cs="Arial"/>
          <w:lang w:val="fr-FR"/>
        </w:rPr>
        <w:t xml:space="preserve"> place)</w:t>
      </w:r>
      <w:r w:rsidR="003A23DF">
        <w:rPr>
          <w:rFonts w:ascii="Arial" w:hAnsi="Arial" w:cs="Arial"/>
          <w:lang w:val="fr-FR"/>
        </w:rPr>
        <w:t>.</w:t>
      </w:r>
      <w:r w:rsidR="007F2F7F">
        <w:rPr>
          <w:rFonts w:ascii="Arial" w:hAnsi="Arial" w:cs="Arial"/>
          <w:lang w:val="fr-FR"/>
        </w:rPr>
        <w:t xml:space="preserve"> </w:t>
      </w:r>
      <w:r w:rsidR="003A23DF">
        <w:rPr>
          <w:rFonts w:ascii="Arial" w:hAnsi="Arial" w:cs="Arial"/>
          <w:lang w:val="fr-FR"/>
        </w:rPr>
        <w:t>I</w:t>
      </w:r>
      <w:r w:rsidR="007F2F7F">
        <w:rPr>
          <w:rFonts w:ascii="Arial" w:hAnsi="Arial" w:cs="Arial"/>
          <w:lang w:val="fr-FR"/>
        </w:rPr>
        <w:t>l s’avère</w:t>
      </w:r>
      <w:r w:rsidR="003A23DF">
        <w:rPr>
          <w:rFonts w:ascii="Arial" w:hAnsi="Arial" w:cs="Arial"/>
          <w:lang w:val="fr-FR"/>
        </w:rPr>
        <w:t xml:space="preserve"> en outre</w:t>
      </w:r>
      <w:r w:rsidR="007F2F7F">
        <w:rPr>
          <w:rFonts w:ascii="Arial" w:hAnsi="Arial" w:cs="Arial"/>
          <w:lang w:val="fr-FR"/>
        </w:rPr>
        <w:t xml:space="preserve"> que les</w:t>
      </w:r>
      <w:r w:rsidR="007F2F7F" w:rsidRPr="007F2F7F">
        <w:rPr>
          <w:rFonts w:ascii="Arial" w:hAnsi="Arial" w:cs="Arial"/>
          <w:lang w:val="fr-FR"/>
        </w:rPr>
        <w:t xml:space="preserve"> </w:t>
      </w:r>
      <w:r w:rsidR="007F2F7F">
        <w:rPr>
          <w:rFonts w:ascii="Arial" w:hAnsi="Arial" w:cs="Arial"/>
          <w:lang w:val="fr-FR"/>
        </w:rPr>
        <w:t>entreprises</w:t>
      </w:r>
      <w:r w:rsidR="00792096">
        <w:rPr>
          <w:rFonts w:ascii="Arial" w:hAnsi="Arial" w:cs="Arial"/>
          <w:lang w:val="fr-FR"/>
        </w:rPr>
        <w:t xml:space="preserve"> participantes sont en moyenne</w:t>
      </w:r>
      <w:r w:rsidR="007F2F7F">
        <w:rPr>
          <w:rFonts w:ascii="Arial" w:hAnsi="Arial" w:cs="Arial"/>
          <w:lang w:val="fr-FR"/>
        </w:rPr>
        <w:t xml:space="preserve"> plus hésitantes à </w:t>
      </w:r>
      <w:r w:rsidR="003A23DF">
        <w:rPr>
          <w:rFonts w:ascii="Arial" w:hAnsi="Arial" w:cs="Arial"/>
          <w:lang w:val="fr-FR"/>
        </w:rPr>
        <w:t xml:space="preserve">réaliser </w:t>
      </w:r>
      <w:r w:rsidR="007F2F7F">
        <w:rPr>
          <w:rFonts w:ascii="Arial" w:hAnsi="Arial" w:cs="Arial"/>
          <w:lang w:val="fr-FR"/>
        </w:rPr>
        <w:t xml:space="preserve">des investissements en matière de R&amp;D (-3 ; </w:t>
      </w:r>
      <w:r w:rsidR="000A3601">
        <w:rPr>
          <w:rFonts w:ascii="Arial" w:hAnsi="Arial" w:cs="Arial"/>
          <w:lang w:val="fr-FR"/>
        </w:rPr>
        <w:t>16</w:t>
      </w:r>
      <w:r w:rsidR="000A3601" w:rsidRPr="000A3601">
        <w:rPr>
          <w:rFonts w:ascii="Arial" w:hAnsi="Arial" w:cs="Arial"/>
          <w:vertAlign w:val="superscript"/>
          <w:lang w:val="fr-FR"/>
        </w:rPr>
        <w:t>e</w:t>
      </w:r>
      <w:r w:rsidR="000A3601">
        <w:rPr>
          <w:rFonts w:ascii="Arial" w:hAnsi="Arial" w:cs="Arial"/>
          <w:lang w:val="fr-FR"/>
        </w:rPr>
        <w:t xml:space="preserve"> </w:t>
      </w:r>
      <w:r w:rsidR="003B18CF">
        <w:rPr>
          <w:rFonts w:ascii="Arial" w:hAnsi="Arial" w:cs="Arial"/>
          <w:lang w:val="fr-FR"/>
        </w:rPr>
        <w:t>rang</w:t>
      </w:r>
      <w:r w:rsidR="007F2F7F">
        <w:rPr>
          <w:rFonts w:ascii="Arial" w:hAnsi="Arial" w:cs="Arial"/>
          <w:lang w:val="fr-FR"/>
        </w:rPr>
        <w:t>)</w:t>
      </w:r>
      <w:r w:rsidR="000A3601">
        <w:rPr>
          <w:rFonts w:ascii="Arial" w:hAnsi="Arial" w:cs="Arial"/>
          <w:lang w:val="fr-FR"/>
        </w:rPr>
        <w:t xml:space="preserve">. Dans cette dernière catégorie, le </w:t>
      </w:r>
      <w:r w:rsidR="000E587F">
        <w:rPr>
          <w:rFonts w:ascii="Arial" w:hAnsi="Arial" w:cs="Arial"/>
          <w:lang w:val="fr-FR"/>
        </w:rPr>
        <w:t xml:space="preserve">Luxembourg a été dépassé </w:t>
      </w:r>
      <w:r w:rsidR="003A23DF">
        <w:rPr>
          <w:rFonts w:ascii="Arial" w:hAnsi="Arial" w:cs="Arial"/>
          <w:lang w:val="fr-FR"/>
        </w:rPr>
        <w:t xml:space="preserve">notamment </w:t>
      </w:r>
      <w:r w:rsidR="000E587F">
        <w:rPr>
          <w:rFonts w:ascii="Arial" w:hAnsi="Arial" w:cs="Arial"/>
          <w:lang w:val="fr-FR"/>
        </w:rPr>
        <w:t>par la France, l’</w:t>
      </w:r>
      <w:r w:rsidR="00792096">
        <w:rPr>
          <w:rFonts w:ascii="Arial" w:hAnsi="Arial" w:cs="Arial"/>
          <w:lang w:val="fr-FR"/>
        </w:rPr>
        <w:t>Autriche et</w:t>
      </w:r>
      <w:r w:rsidR="000E587F">
        <w:rPr>
          <w:rFonts w:ascii="Arial" w:hAnsi="Arial" w:cs="Arial"/>
          <w:lang w:val="fr-FR"/>
        </w:rPr>
        <w:t xml:space="preserve"> la Belgique.</w:t>
      </w:r>
      <w:r w:rsidR="00276F8E">
        <w:rPr>
          <w:rFonts w:ascii="Arial" w:hAnsi="Arial" w:cs="Arial"/>
          <w:lang w:val="fr-FR"/>
        </w:rPr>
        <w:t xml:space="preserve"> </w:t>
      </w:r>
    </w:p>
    <w:p w:rsidR="002872C6" w:rsidRDefault="002872C6" w:rsidP="00BE54ED">
      <w:pPr>
        <w:spacing w:after="0" w:line="259" w:lineRule="auto"/>
        <w:jc w:val="both"/>
        <w:rPr>
          <w:rFonts w:ascii="Arial" w:hAnsi="Arial" w:cs="Arial"/>
          <w:lang w:val="fr-FR"/>
        </w:rPr>
      </w:pPr>
    </w:p>
    <w:p w:rsidR="008955D5" w:rsidRPr="00390259" w:rsidRDefault="00366972" w:rsidP="00BE54ED">
      <w:pPr>
        <w:spacing w:after="0" w:line="259" w:lineRule="auto"/>
        <w:jc w:val="both"/>
        <w:rPr>
          <w:rFonts w:ascii="Arial" w:hAnsi="Arial" w:cs="Arial"/>
          <w:lang w:val="fr-FR"/>
        </w:rPr>
      </w:pPr>
      <w:r>
        <w:rPr>
          <w:rFonts w:ascii="Arial" w:hAnsi="Arial" w:cs="Arial"/>
          <w:lang w:val="fr-FR"/>
        </w:rPr>
        <w:t xml:space="preserve">Une </w:t>
      </w:r>
      <w:r w:rsidR="00603B9F">
        <w:rPr>
          <w:rFonts w:ascii="Arial" w:hAnsi="Arial" w:cs="Arial"/>
          <w:lang w:val="fr-FR"/>
        </w:rPr>
        <w:t xml:space="preserve">grande partie des entreprises </w:t>
      </w:r>
      <w:r w:rsidR="00776859">
        <w:rPr>
          <w:rFonts w:ascii="Arial" w:hAnsi="Arial" w:cs="Arial"/>
          <w:lang w:val="fr-FR"/>
        </w:rPr>
        <w:t>l</w:t>
      </w:r>
      <w:r w:rsidR="00603B9F">
        <w:rPr>
          <w:rFonts w:ascii="Arial" w:hAnsi="Arial" w:cs="Arial"/>
          <w:lang w:val="fr-FR"/>
        </w:rPr>
        <w:t>uxembourg</w:t>
      </w:r>
      <w:r w:rsidR="00776859">
        <w:rPr>
          <w:rFonts w:ascii="Arial" w:hAnsi="Arial" w:cs="Arial"/>
          <w:lang w:val="fr-FR"/>
        </w:rPr>
        <w:t>eoises</w:t>
      </w:r>
      <w:r w:rsidR="00603B9F">
        <w:rPr>
          <w:rFonts w:ascii="Arial" w:hAnsi="Arial" w:cs="Arial"/>
          <w:lang w:val="fr-FR"/>
        </w:rPr>
        <w:t xml:space="preserve"> se sont spécialisé</w:t>
      </w:r>
      <w:r w:rsidR="00512745">
        <w:rPr>
          <w:rFonts w:ascii="Arial" w:hAnsi="Arial" w:cs="Arial"/>
          <w:lang w:val="fr-FR"/>
        </w:rPr>
        <w:t>e</w:t>
      </w:r>
      <w:r w:rsidR="00603B9F">
        <w:rPr>
          <w:rFonts w:ascii="Arial" w:hAnsi="Arial" w:cs="Arial"/>
          <w:lang w:val="fr-FR"/>
        </w:rPr>
        <w:t>s sur des marchés de niche</w:t>
      </w:r>
      <w:r w:rsidR="003B18CF">
        <w:rPr>
          <w:rFonts w:ascii="Arial" w:hAnsi="Arial" w:cs="Arial"/>
          <w:lang w:val="fr-FR"/>
        </w:rPr>
        <w:t>,</w:t>
      </w:r>
      <w:r w:rsidR="00603B9F">
        <w:rPr>
          <w:rFonts w:ascii="Arial" w:hAnsi="Arial" w:cs="Arial"/>
          <w:lang w:val="fr-FR"/>
        </w:rPr>
        <w:t xml:space="preserve"> et ce avec beaucoup de succès. </w:t>
      </w:r>
      <w:r w:rsidR="00FB6F44">
        <w:rPr>
          <w:rFonts w:ascii="Arial" w:hAnsi="Arial" w:cs="Arial"/>
          <w:lang w:val="fr-FR"/>
        </w:rPr>
        <w:t xml:space="preserve">Compte tenu </w:t>
      </w:r>
      <w:r w:rsidR="00603B9F">
        <w:rPr>
          <w:rFonts w:ascii="Arial" w:hAnsi="Arial" w:cs="Arial"/>
          <w:lang w:val="fr-FR"/>
        </w:rPr>
        <w:t>de l</w:t>
      </w:r>
      <w:r w:rsidR="00480B81">
        <w:rPr>
          <w:rFonts w:ascii="Arial" w:hAnsi="Arial" w:cs="Arial"/>
          <w:lang w:val="fr-FR"/>
        </w:rPr>
        <w:t xml:space="preserve">a nécessité </w:t>
      </w:r>
      <w:r w:rsidR="003B18CF">
        <w:rPr>
          <w:rFonts w:ascii="Arial" w:hAnsi="Arial" w:cs="Arial"/>
          <w:lang w:val="fr-FR"/>
        </w:rPr>
        <w:t>d’une main-</w:t>
      </w:r>
      <w:r w:rsidR="00603B9F">
        <w:rPr>
          <w:rFonts w:ascii="Arial" w:hAnsi="Arial" w:cs="Arial"/>
          <w:lang w:val="fr-FR"/>
        </w:rPr>
        <w:t>d’œuvre qualifiée</w:t>
      </w:r>
      <w:r>
        <w:rPr>
          <w:rFonts w:ascii="Arial" w:hAnsi="Arial" w:cs="Arial"/>
          <w:lang w:val="fr-FR"/>
        </w:rPr>
        <w:t xml:space="preserve"> pour assurer le développement des activités de ces entreprises,</w:t>
      </w:r>
      <w:r w:rsidR="00480B81">
        <w:rPr>
          <w:rFonts w:ascii="Arial" w:hAnsi="Arial" w:cs="Arial"/>
          <w:lang w:val="fr-FR"/>
        </w:rPr>
        <w:t xml:space="preserve"> une amélioration continue en </w:t>
      </w:r>
      <w:r w:rsidR="00480B81">
        <w:rPr>
          <w:rFonts w:ascii="Arial" w:hAnsi="Arial" w:cs="Arial"/>
          <w:lang w:val="fr-FR"/>
        </w:rPr>
        <w:lastRenderedPageBreak/>
        <w:t xml:space="preserve">matière d’innovation s’avère non seulement favorable, mais </w:t>
      </w:r>
      <w:r>
        <w:rPr>
          <w:rFonts w:ascii="Arial" w:hAnsi="Arial" w:cs="Arial"/>
          <w:lang w:val="fr-FR"/>
        </w:rPr>
        <w:t>indispensable</w:t>
      </w:r>
      <w:r w:rsidR="00512745">
        <w:rPr>
          <w:rFonts w:ascii="Arial" w:hAnsi="Arial" w:cs="Arial"/>
          <w:lang w:val="fr-FR"/>
        </w:rPr>
        <w:t xml:space="preserve">. Ainsi, les entreprises devront </w:t>
      </w:r>
      <w:r w:rsidR="00276F8E">
        <w:rPr>
          <w:rFonts w:ascii="Arial" w:hAnsi="Arial" w:cs="Arial"/>
          <w:lang w:val="fr-FR"/>
        </w:rPr>
        <w:t xml:space="preserve">déployer des </w:t>
      </w:r>
      <w:r w:rsidR="0024401C">
        <w:rPr>
          <w:rFonts w:ascii="Arial" w:hAnsi="Arial" w:cs="Arial"/>
          <w:lang w:val="fr-FR"/>
        </w:rPr>
        <w:t>efforts substantiels</w:t>
      </w:r>
      <w:r w:rsidR="00276F8E">
        <w:rPr>
          <w:rFonts w:ascii="Arial" w:hAnsi="Arial" w:cs="Arial"/>
          <w:lang w:val="fr-FR"/>
        </w:rPr>
        <w:t xml:space="preserve"> dans ce domaine et l’Etat en devra assurer un cadre adéquat.</w:t>
      </w:r>
    </w:p>
    <w:p w:rsidR="002872C6" w:rsidRDefault="002872C6" w:rsidP="00BE54ED">
      <w:pPr>
        <w:spacing w:after="0" w:line="259" w:lineRule="auto"/>
        <w:rPr>
          <w:rFonts w:ascii="Arial" w:hAnsi="Arial" w:cs="Arial"/>
          <w:b/>
          <w:sz w:val="24"/>
          <w:szCs w:val="24"/>
          <w:u w:val="single"/>
        </w:rPr>
      </w:pPr>
    </w:p>
    <w:p w:rsidR="00434CB6" w:rsidRDefault="000943C9" w:rsidP="00BE54ED">
      <w:pPr>
        <w:spacing w:after="0" w:line="259" w:lineRule="auto"/>
        <w:rPr>
          <w:rFonts w:ascii="Arial" w:hAnsi="Arial" w:cs="Arial"/>
          <w:b/>
          <w:sz w:val="24"/>
          <w:szCs w:val="24"/>
          <w:u w:val="single"/>
        </w:rPr>
      </w:pPr>
      <w:r>
        <w:rPr>
          <w:rFonts w:ascii="Arial" w:hAnsi="Arial" w:cs="Arial"/>
          <w:b/>
          <w:sz w:val="24"/>
          <w:szCs w:val="24"/>
          <w:u w:val="single"/>
        </w:rPr>
        <w:t>Conclusion</w:t>
      </w:r>
    </w:p>
    <w:p w:rsidR="000350D3" w:rsidRDefault="000350D3" w:rsidP="00BE54ED">
      <w:pPr>
        <w:spacing w:after="0" w:line="259" w:lineRule="auto"/>
        <w:jc w:val="both"/>
        <w:rPr>
          <w:rFonts w:ascii="Arial" w:hAnsi="Arial" w:cs="Arial"/>
        </w:rPr>
      </w:pPr>
    </w:p>
    <w:p w:rsidR="000F0B99" w:rsidRDefault="00044B3B" w:rsidP="00BE54ED">
      <w:pPr>
        <w:spacing w:after="0" w:line="259" w:lineRule="auto"/>
        <w:jc w:val="both"/>
        <w:rPr>
          <w:rFonts w:ascii="Arial" w:hAnsi="Arial" w:cs="Arial"/>
        </w:rPr>
      </w:pPr>
      <w:r>
        <w:rPr>
          <w:rFonts w:ascii="Arial" w:hAnsi="Arial" w:cs="Arial"/>
        </w:rPr>
        <w:t>En tant que petit</w:t>
      </w:r>
      <w:r w:rsidR="00B71238">
        <w:rPr>
          <w:rFonts w:ascii="Arial" w:hAnsi="Arial" w:cs="Arial"/>
        </w:rPr>
        <w:t>e</w:t>
      </w:r>
      <w:r>
        <w:rPr>
          <w:rFonts w:ascii="Arial" w:hAnsi="Arial" w:cs="Arial"/>
        </w:rPr>
        <w:t xml:space="preserve"> </w:t>
      </w:r>
      <w:r w:rsidR="00B71238">
        <w:rPr>
          <w:rFonts w:ascii="Arial" w:hAnsi="Arial" w:cs="Arial"/>
        </w:rPr>
        <w:t>économie ouverte et exportatrice</w:t>
      </w:r>
      <w:r>
        <w:rPr>
          <w:rFonts w:ascii="Arial" w:hAnsi="Arial" w:cs="Arial"/>
        </w:rPr>
        <w:t xml:space="preserve">, il est indispensable que </w:t>
      </w:r>
      <w:r w:rsidR="0083368B">
        <w:rPr>
          <w:rFonts w:ascii="Arial" w:hAnsi="Arial" w:cs="Arial"/>
        </w:rPr>
        <w:t xml:space="preserve">le Luxembourg </w:t>
      </w:r>
      <w:r>
        <w:rPr>
          <w:rFonts w:ascii="Arial" w:hAnsi="Arial" w:cs="Arial"/>
        </w:rPr>
        <w:t xml:space="preserve"> préserve la compétitivité comme principale caractéristique </w:t>
      </w:r>
      <w:r w:rsidR="00B71238">
        <w:rPr>
          <w:rFonts w:ascii="Arial" w:hAnsi="Arial" w:cs="Arial"/>
        </w:rPr>
        <w:t>de</w:t>
      </w:r>
      <w:r>
        <w:rPr>
          <w:rFonts w:ascii="Arial" w:hAnsi="Arial" w:cs="Arial"/>
        </w:rPr>
        <w:t xml:space="preserve"> sa carte de visite. Après la tendance </w:t>
      </w:r>
      <w:r w:rsidR="00B71238">
        <w:rPr>
          <w:rFonts w:ascii="Arial" w:hAnsi="Arial" w:cs="Arial"/>
        </w:rPr>
        <w:t>stagnante, voire baissière</w:t>
      </w:r>
      <w:r w:rsidR="00697B8E">
        <w:rPr>
          <w:rFonts w:ascii="Arial" w:hAnsi="Arial" w:cs="Arial"/>
        </w:rPr>
        <w:t xml:space="preserve"> </w:t>
      </w:r>
      <w:r w:rsidR="00EC1AA2">
        <w:rPr>
          <w:rFonts w:ascii="Arial" w:hAnsi="Arial" w:cs="Arial"/>
        </w:rPr>
        <w:t>à ce niveau</w:t>
      </w:r>
      <w:r>
        <w:rPr>
          <w:rFonts w:ascii="Arial" w:hAnsi="Arial" w:cs="Arial"/>
        </w:rPr>
        <w:t>, l’édition 2014-</w:t>
      </w:r>
      <w:r w:rsidR="00CE6054">
        <w:rPr>
          <w:rFonts w:ascii="Arial" w:hAnsi="Arial" w:cs="Arial"/>
        </w:rPr>
        <w:t xml:space="preserve">2015 du GCR marque un </w:t>
      </w:r>
      <w:r w:rsidR="00731FED">
        <w:rPr>
          <w:rFonts w:ascii="Arial" w:hAnsi="Arial" w:cs="Arial"/>
        </w:rPr>
        <w:t>tournant</w:t>
      </w:r>
      <w:r w:rsidR="00CE6054">
        <w:rPr>
          <w:rFonts w:ascii="Arial" w:hAnsi="Arial" w:cs="Arial"/>
        </w:rPr>
        <w:t xml:space="preserve"> </w:t>
      </w:r>
      <w:r w:rsidR="00932E5B">
        <w:rPr>
          <w:rFonts w:ascii="Arial" w:hAnsi="Arial" w:cs="Arial"/>
        </w:rPr>
        <w:t xml:space="preserve">positif. </w:t>
      </w:r>
    </w:p>
    <w:p w:rsidR="000F0B99" w:rsidRDefault="000F0B99" w:rsidP="00BE54ED">
      <w:pPr>
        <w:spacing w:after="0" w:line="259" w:lineRule="auto"/>
        <w:jc w:val="both"/>
        <w:rPr>
          <w:rFonts w:ascii="Arial" w:hAnsi="Arial" w:cs="Arial"/>
        </w:rPr>
      </w:pPr>
    </w:p>
    <w:p w:rsidR="000F0B99" w:rsidRDefault="00B71238" w:rsidP="00BE54ED">
      <w:pPr>
        <w:spacing w:after="0" w:line="259" w:lineRule="auto"/>
        <w:jc w:val="both"/>
        <w:rPr>
          <w:rFonts w:ascii="Arial" w:hAnsi="Arial" w:cs="Arial"/>
          <w:lang w:val="fr-FR"/>
        </w:rPr>
      </w:pPr>
      <w:r>
        <w:rPr>
          <w:rFonts w:ascii="Arial" w:hAnsi="Arial" w:cs="Arial"/>
        </w:rPr>
        <w:t>Or, m</w:t>
      </w:r>
      <w:r w:rsidR="000620D8">
        <w:rPr>
          <w:rFonts w:ascii="Arial" w:hAnsi="Arial" w:cs="Arial"/>
        </w:rPr>
        <w:t xml:space="preserve">algré </w:t>
      </w:r>
      <w:r w:rsidR="001E51D0">
        <w:rPr>
          <w:rFonts w:ascii="Arial" w:hAnsi="Arial" w:cs="Arial"/>
        </w:rPr>
        <w:t xml:space="preserve">l’amélioration </w:t>
      </w:r>
      <w:r w:rsidR="000620D8">
        <w:rPr>
          <w:rFonts w:ascii="Arial" w:hAnsi="Arial" w:cs="Arial"/>
        </w:rPr>
        <w:t xml:space="preserve">de </w:t>
      </w:r>
      <w:r>
        <w:rPr>
          <w:rFonts w:ascii="Arial" w:hAnsi="Arial" w:cs="Arial"/>
        </w:rPr>
        <w:t>trois</w:t>
      </w:r>
      <w:r w:rsidR="000620D8">
        <w:rPr>
          <w:rFonts w:ascii="Arial" w:hAnsi="Arial" w:cs="Arial"/>
        </w:rPr>
        <w:t xml:space="preserve"> places dans le classement,</w:t>
      </w:r>
      <w:r w:rsidR="00105BFC">
        <w:rPr>
          <w:rFonts w:ascii="Arial" w:hAnsi="Arial" w:cs="Arial"/>
        </w:rPr>
        <w:t xml:space="preserve"> </w:t>
      </w:r>
      <w:r w:rsidR="00BA174A">
        <w:rPr>
          <w:rFonts w:ascii="Arial" w:hAnsi="Arial" w:cs="Arial"/>
        </w:rPr>
        <w:t>il</w:t>
      </w:r>
      <w:r w:rsidR="000620D8">
        <w:rPr>
          <w:rFonts w:ascii="Arial" w:hAnsi="Arial" w:cs="Arial"/>
        </w:rPr>
        <w:t xml:space="preserve"> ne faut pas</w:t>
      </w:r>
      <w:r w:rsidR="001E51D0">
        <w:rPr>
          <w:rFonts w:ascii="Arial" w:hAnsi="Arial" w:cs="Arial"/>
        </w:rPr>
        <w:t xml:space="preserve"> oublier que</w:t>
      </w:r>
      <w:r w:rsidR="00BA174A">
        <w:rPr>
          <w:rFonts w:ascii="Arial" w:hAnsi="Arial" w:cs="Arial"/>
        </w:rPr>
        <w:t xml:space="preserve"> </w:t>
      </w:r>
      <w:r w:rsidR="00D93835">
        <w:rPr>
          <w:rFonts w:ascii="Arial" w:hAnsi="Arial" w:cs="Arial"/>
        </w:rPr>
        <w:t xml:space="preserve">le Luxembourg est toujours </w:t>
      </w:r>
      <w:r w:rsidR="003558F4">
        <w:rPr>
          <w:rFonts w:ascii="Arial" w:hAnsi="Arial" w:cs="Arial"/>
        </w:rPr>
        <w:t>aux prises avec des</w:t>
      </w:r>
      <w:r w:rsidR="00BA174A">
        <w:rPr>
          <w:rFonts w:ascii="Arial" w:hAnsi="Arial" w:cs="Arial"/>
        </w:rPr>
        <w:t xml:space="preserve"> </w:t>
      </w:r>
      <w:r w:rsidR="003551FB">
        <w:rPr>
          <w:rFonts w:ascii="Arial" w:hAnsi="Arial" w:cs="Arial"/>
        </w:rPr>
        <w:t>inefficiences structurelles</w:t>
      </w:r>
      <w:r w:rsidR="00BA174A">
        <w:rPr>
          <w:rFonts w:ascii="Arial" w:hAnsi="Arial" w:cs="Arial"/>
        </w:rPr>
        <w:t xml:space="preserve"> </w:t>
      </w:r>
      <w:r w:rsidR="003558F4">
        <w:rPr>
          <w:rFonts w:ascii="Arial" w:hAnsi="Arial" w:cs="Arial"/>
        </w:rPr>
        <w:t xml:space="preserve">qui </w:t>
      </w:r>
      <w:r w:rsidR="00D93835">
        <w:rPr>
          <w:rFonts w:ascii="Arial" w:hAnsi="Arial" w:cs="Arial"/>
        </w:rPr>
        <w:t>persi</w:t>
      </w:r>
      <w:r w:rsidR="00B923B7">
        <w:rPr>
          <w:rFonts w:ascii="Arial" w:hAnsi="Arial" w:cs="Arial"/>
        </w:rPr>
        <w:t>s</w:t>
      </w:r>
      <w:r w:rsidR="003558F4">
        <w:rPr>
          <w:rFonts w:ascii="Arial" w:hAnsi="Arial" w:cs="Arial"/>
        </w:rPr>
        <w:t>te</w:t>
      </w:r>
      <w:r w:rsidR="00D93835">
        <w:rPr>
          <w:rFonts w:ascii="Arial" w:hAnsi="Arial" w:cs="Arial"/>
        </w:rPr>
        <w:t>nt</w:t>
      </w:r>
      <w:r w:rsidR="001742BE">
        <w:rPr>
          <w:rFonts w:ascii="Arial" w:hAnsi="Arial" w:cs="Arial"/>
        </w:rPr>
        <w:t xml:space="preserve"> depuis des années : </w:t>
      </w:r>
      <w:r w:rsidR="00481E5B">
        <w:rPr>
          <w:rFonts w:ascii="Arial" w:hAnsi="Arial" w:cs="Arial"/>
        </w:rPr>
        <w:t xml:space="preserve">le droit </w:t>
      </w:r>
      <w:r w:rsidR="00612E61">
        <w:rPr>
          <w:rFonts w:ascii="Arial" w:hAnsi="Arial" w:cs="Arial"/>
        </w:rPr>
        <w:t xml:space="preserve">du </w:t>
      </w:r>
      <w:r w:rsidR="00481E5B">
        <w:rPr>
          <w:rFonts w:ascii="Arial" w:hAnsi="Arial" w:cs="Arial"/>
        </w:rPr>
        <w:t xml:space="preserve">travail, de par sa nature rigide, est souvent une entrave à la compétitivité, </w:t>
      </w:r>
      <w:r>
        <w:rPr>
          <w:rFonts w:ascii="Arial" w:hAnsi="Arial" w:cs="Arial"/>
        </w:rPr>
        <w:t>la courbe du</w:t>
      </w:r>
      <w:r w:rsidR="001742BE">
        <w:rPr>
          <w:rFonts w:ascii="Arial" w:hAnsi="Arial" w:cs="Arial"/>
        </w:rPr>
        <w:t xml:space="preserve"> chômage </w:t>
      </w:r>
      <w:r w:rsidR="00612E61">
        <w:rPr>
          <w:rFonts w:ascii="Arial" w:hAnsi="Arial" w:cs="Arial"/>
        </w:rPr>
        <w:t xml:space="preserve">- </w:t>
      </w:r>
      <w:r w:rsidR="001742BE">
        <w:rPr>
          <w:rFonts w:ascii="Arial" w:hAnsi="Arial" w:cs="Arial"/>
        </w:rPr>
        <w:t>et notamment le chômage des jeunes</w:t>
      </w:r>
      <w:r w:rsidR="00612E61">
        <w:rPr>
          <w:rFonts w:ascii="Arial" w:hAnsi="Arial" w:cs="Arial"/>
        </w:rPr>
        <w:t xml:space="preserve"> </w:t>
      </w:r>
      <w:r w:rsidR="00EC1AA2">
        <w:rPr>
          <w:rFonts w:ascii="Arial" w:hAnsi="Arial" w:cs="Arial"/>
        </w:rPr>
        <w:t>-</w:t>
      </w:r>
      <w:r w:rsidR="001742BE">
        <w:rPr>
          <w:rFonts w:ascii="Arial" w:hAnsi="Arial" w:cs="Arial"/>
        </w:rPr>
        <w:t xml:space="preserve"> </w:t>
      </w:r>
      <w:r>
        <w:rPr>
          <w:rFonts w:ascii="Arial" w:hAnsi="Arial" w:cs="Arial"/>
        </w:rPr>
        <w:t>s’inscrit à la hausse</w:t>
      </w:r>
      <w:r w:rsidR="00612E61">
        <w:rPr>
          <w:rFonts w:ascii="Arial" w:hAnsi="Arial" w:cs="Arial"/>
        </w:rPr>
        <w:t>,</w:t>
      </w:r>
      <w:r w:rsidR="001761E9">
        <w:rPr>
          <w:rFonts w:ascii="Arial" w:hAnsi="Arial" w:cs="Arial"/>
        </w:rPr>
        <w:t xml:space="preserve"> et</w:t>
      </w:r>
      <w:r w:rsidR="001742BE">
        <w:rPr>
          <w:rFonts w:ascii="Arial" w:hAnsi="Arial" w:cs="Arial"/>
        </w:rPr>
        <w:t xml:space="preserve"> </w:t>
      </w:r>
      <w:r w:rsidR="001742BE" w:rsidRPr="001742BE">
        <w:rPr>
          <w:rFonts w:ascii="Arial" w:hAnsi="Arial" w:cs="Arial"/>
        </w:rPr>
        <w:t>les comptes de l’Administration centr</w:t>
      </w:r>
      <w:r w:rsidR="00FA6C0B">
        <w:rPr>
          <w:rFonts w:ascii="Arial" w:hAnsi="Arial" w:cs="Arial"/>
        </w:rPr>
        <w:t xml:space="preserve">ale </w:t>
      </w:r>
      <w:r>
        <w:rPr>
          <w:rFonts w:ascii="Arial" w:hAnsi="Arial" w:cs="Arial"/>
        </w:rPr>
        <w:t>demeurent</w:t>
      </w:r>
      <w:r w:rsidR="00FA6C0B">
        <w:rPr>
          <w:rFonts w:ascii="Arial" w:hAnsi="Arial" w:cs="Arial"/>
        </w:rPr>
        <w:t xml:space="preserve"> </w:t>
      </w:r>
      <w:r w:rsidR="001742BE" w:rsidRPr="001742BE">
        <w:rPr>
          <w:rFonts w:ascii="Arial" w:hAnsi="Arial" w:cs="Arial"/>
        </w:rPr>
        <w:t>dans le rouge</w:t>
      </w:r>
      <w:r w:rsidR="00731FED">
        <w:rPr>
          <w:rFonts w:ascii="Arial" w:hAnsi="Arial" w:cs="Arial"/>
        </w:rPr>
        <w:t xml:space="preserve">. </w:t>
      </w:r>
      <w:r w:rsidR="00A307A4">
        <w:rPr>
          <w:rFonts w:ascii="Arial" w:hAnsi="Arial" w:cs="Arial"/>
        </w:rPr>
        <w:t xml:space="preserve">S’y ajoute </w:t>
      </w:r>
      <w:r w:rsidR="009D210B">
        <w:rPr>
          <w:rFonts w:ascii="Arial" w:hAnsi="Arial" w:cs="Arial"/>
        </w:rPr>
        <w:t xml:space="preserve">le triple choc qui s’annonce pour l’année 2015, </w:t>
      </w:r>
      <w:r w:rsidR="00612E61">
        <w:rPr>
          <w:rFonts w:ascii="Arial" w:hAnsi="Arial" w:cs="Arial"/>
        </w:rPr>
        <w:t xml:space="preserve">à savoir </w:t>
      </w:r>
      <w:r w:rsidR="009D210B">
        <w:rPr>
          <w:rFonts w:ascii="Arial" w:hAnsi="Arial" w:cs="Arial"/>
        </w:rPr>
        <w:t>l</w:t>
      </w:r>
      <w:r w:rsidR="009D210B">
        <w:rPr>
          <w:rFonts w:ascii="Arial" w:hAnsi="Arial" w:cs="Arial"/>
          <w:lang w:val="fr-FR"/>
        </w:rPr>
        <w:t xml:space="preserve">a hausse de la TVA, </w:t>
      </w:r>
      <w:r w:rsidR="00B13092">
        <w:rPr>
          <w:rFonts w:ascii="Arial" w:hAnsi="Arial" w:cs="Arial"/>
          <w:lang w:val="fr-FR"/>
        </w:rPr>
        <w:t>l</w:t>
      </w:r>
      <w:r w:rsidR="00B13092" w:rsidRPr="00B13092">
        <w:rPr>
          <w:rFonts w:ascii="Arial" w:hAnsi="Arial" w:cs="Arial"/>
          <w:lang w:val="fr-FR"/>
        </w:rPr>
        <w:t>’entrée en vigueur de l’échange automatique d’informations sur les revenus d’intérêts</w:t>
      </w:r>
      <w:r w:rsidR="009D210B">
        <w:rPr>
          <w:rFonts w:ascii="Arial" w:hAnsi="Arial" w:cs="Arial"/>
          <w:lang w:val="fr-FR"/>
        </w:rPr>
        <w:t xml:space="preserve"> et l</w:t>
      </w:r>
      <w:r w:rsidR="009D210B" w:rsidRPr="009D210B">
        <w:rPr>
          <w:rFonts w:ascii="Arial" w:hAnsi="Arial" w:cs="Arial"/>
          <w:lang w:val="fr-FR"/>
        </w:rPr>
        <w:t>a perte</w:t>
      </w:r>
      <w:r>
        <w:rPr>
          <w:rFonts w:ascii="Arial" w:hAnsi="Arial" w:cs="Arial"/>
          <w:lang w:val="fr-FR"/>
        </w:rPr>
        <w:t xml:space="preserve"> significative</w:t>
      </w:r>
      <w:r w:rsidR="009D210B" w:rsidRPr="009D210B">
        <w:rPr>
          <w:rFonts w:ascii="Arial" w:hAnsi="Arial" w:cs="Arial"/>
          <w:lang w:val="fr-FR"/>
        </w:rPr>
        <w:t xml:space="preserve"> de recettes liée au changement de régime de T</w:t>
      </w:r>
      <w:r w:rsidR="003C2E92">
        <w:rPr>
          <w:rFonts w:ascii="Arial" w:hAnsi="Arial" w:cs="Arial"/>
          <w:lang w:val="fr-FR"/>
        </w:rPr>
        <w:t xml:space="preserve">VA sur le commerce électronique. </w:t>
      </w:r>
      <w:r w:rsidR="00EC1AA2">
        <w:rPr>
          <w:rFonts w:ascii="Arial" w:hAnsi="Arial" w:cs="Arial"/>
          <w:lang w:val="fr-FR"/>
        </w:rPr>
        <w:t>Ainsi, l</w:t>
      </w:r>
      <w:r w:rsidR="003C2E92">
        <w:rPr>
          <w:rFonts w:ascii="Arial" w:hAnsi="Arial" w:cs="Arial"/>
          <w:lang w:val="fr-FR"/>
        </w:rPr>
        <w:t>es défis à affronter s</w:t>
      </w:r>
      <w:r w:rsidR="000B307B">
        <w:rPr>
          <w:rFonts w:ascii="Arial" w:hAnsi="Arial" w:cs="Arial"/>
          <w:lang w:val="fr-FR"/>
        </w:rPr>
        <w:t>ont nombreux et l</w:t>
      </w:r>
      <w:r w:rsidR="00B22EFD">
        <w:rPr>
          <w:rFonts w:ascii="Arial" w:hAnsi="Arial" w:cs="Arial"/>
          <w:lang w:val="fr-FR"/>
        </w:rPr>
        <w:t xml:space="preserve">e Luxembourg devra déployer </w:t>
      </w:r>
      <w:r w:rsidR="0027150D">
        <w:rPr>
          <w:rFonts w:ascii="Arial" w:hAnsi="Arial" w:cs="Arial"/>
          <w:lang w:val="fr-FR"/>
        </w:rPr>
        <w:t>bien des</w:t>
      </w:r>
      <w:r w:rsidR="00B22EFD">
        <w:rPr>
          <w:rFonts w:ascii="Arial" w:hAnsi="Arial" w:cs="Arial"/>
          <w:lang w:val="fr-FR"/>
        </w:rPr>
        <w:t xml:space="preserve"> efforts pour </w:t>
      </w:r>
      <w:r w:rsidR="008D4858">
        <w:rPr>
          <w:rFonts w:ascii="Arial" w:hAnsi="Arial" w:cs="Arial"/>
          <w:lang w:val="fr-FR"/>
        </w:rPr>
        <w:t>les maîtriser</w:t>
      </w:r>
      <w:r w:rsidR="00EC1AA2">
        <w:rPr>
          <w:rFonts w:ascii="Arial" w:hAnsi="Arial" w:cs="Arial"/>
          <w:lang w:val="fr-FR"/>
        </w:rPr>
        <w:t xml:space="preserve"> et</w:t>
      </w:r>
      <w:r w:rsidR="008D4858">
        <w:rPr>
          <w:rFonts w:ascii="Arial" w:hAnsi="Arial" w:cs="Arial"/>
          <w:lang w:val="fr-FR"/>
        </w:rPr>
        <w:t xml:space="preserve"> </w:t>
      </w:r>
      <w:r w:rsidR="000B307B">
        <w:rPr>
          <w:rFonts w:ascii="Arial" w:hAnsi="Arial" w:cs="Arial"/>
          <w:lang w:val="fr-FR"/>
        </w:rPr>
        <w:t xml:space="preserve">afin de </w:t>
      </w:r>
      <w:r w:rsidR="00EC1AA2">
        <w:rPr>
          <w:rFonts w:ascii="Arial" w:hAnsi="Arial" w:cs="Arial"/>
          <w:lang w:val="fr-FR"/>
        </w:rPr>
        <w:t>conserver sa notation</w:t>
      </w:r>
      <w:r w:rsidR="000B307B">
        <w:rPr>
          <w:rFonts w:ascii="Arial" w:hAnsi="Arial" w:cs="Arial"/>
          <w:lang w:val="fr-FR"/>
        </w:rPr>
        <w:t xml:space="preserve"> AAA, critère-clé </w:t>
      </w:r>
      <w:r w:rsidR="008D4858">
        <w:rPr>
          <w:rFonts w:ascii="Arial" w:hAnsi="Arial" w:cs="Arial"/>
          <w:lang w:val="fr-FR"/>
        </w:rPr>
        <w:t xml:space="preserve">pour </w:t>
      </w:r>
      <w:r w:rsidR="0027150D">
        <w:rPr>
          <w:rFonts w:ascii="Arial" w:hAnsi="Arial" w:cs="Arial"/>
          <w:lang w:val="fr-FR"/>
        </w:rPr>
        <w:t xml:space="preserve">sa </w:t>
      </w:r>
      <w:r w:rsidR="008D4858">
        <w:rPr>
          <w:rFonts w:ascii="Arial" w:hAnsi="Arial" w:cs="Arial"/>
          <w:lang w:val="fr-FR"/>
        </w:rPr>
        <w:t>réussite</w:t>
      </w:r>
      <w:r>
        <w:rPr>
          <w:rFonts w:ascii="Arial" w:hAnsi="Arial" w:cs="Arial"/>
          <w:lang w:val="fr-FR"/>
        </w:rPr>
        <w:t xml:space="preserve"> sur l’échiquier international</w:t>
      </w:r>
      <w:r w:rsidR="00EC1AA2">
        <w:rPr>
          <w:rFonts w:ascii="Arial" w:hAnsi="Arial" w:cs="Arial"/>
          <w:lang w:val="fr-FR"/>
        </w:rPr>
        <w:t xml:space="preserve"> et garant de la souveraineté nationale.</w:t>
      </w:r>
      <w:r w:rsidR="000F0B99">
        <w:rPr>
          <w:rFonts w:ascii="Arial" w:hAnsi="Arial" w:cs="Arial"/>
          <w:lang w:val="fr-FR"/>
        </w:rPr>
        <w:t xml:space="preserve"> </w:t>
      </w:r>
    </w:p>
    <w:p w:rsidR="000F0B99" w:rsidRDefault="000F0B99" w:rsidP="00BE54ED">
      <w:pPr>
        <w:spacing w:after="0" w:line="259" w:lineRule="auto"/>
        <w:jc w:val="both"/>
        <w:rPr>
          <w:rFonts w:ascii="Arial" w:hAnsi="Arial" w:cs="Arial"/>
          <w:lang w:val="fr-FR"/>
        </w:rPr>
      </w:pPr>
    </w:p>
    <w:p w:rsidR="00105BFC" w:rsidRPr="000F0B99" w:rsidRDefault="005B44D7" w:rsidP="00BE54ED">
      <w:pPr>
        <w:spacing w:after="0" w:line="259" w:lineRule="auto"/>
        <w:jc w:val="both"/>
        <w:rPr>
          <w:rFonts w:ascii="Arial" w:hAnsi="Arial" w:cs="Arial"/>
          <w:lang w:val="fr-FR"/>
        </w:rPr>
      </w:pPr>
      <w:r>
        <w:rPr>
          <w:rFonts w:ascii="Arial" w:hAnsi="Arial" w:cs="Arial"/>
        </w:rPr>
        <w:t xml:space="preserve">La </w:t>
      </w:r>
      <w:r w:rsidR="00467F96">
        <w:rPr>
          <w:rFonts w:ascii="Arial" w:hAnsi="Arial" w:cs="Arial"/>
        </w:rPr>
        <w:t>rentrée parlementaire s’annonce prometteuse</w:t>
      </w:r>
      <w:r>
        <w:rPr>
          <w:rFonts w:ascii="Arial" w:hAnsi="Arial" w:cs="Arial"/>
        </w:rPr>
        <w:t>: simplification administrative, plans sectoriels, réforme fiscale</w:t>
      </w:r>
      <w:r w:rsidR="008A4A9A">
        <w:rPr>
          <w:rFonts w:ascii="Arial" w:hAnsi="Arial" w:cs="Arial"/>
        </w:rPr>
        <w:t>. La Chambre de Commerce salue la clarté des</w:t>
      </w:r>
      <w:r w:rsidR="00731FED">
        <w:rPr>
          <w:rFonts w:ascii="Arial" w:hAnsi="Arial" w:cs="Arial"/>
        </w:rPr>
        <w:t xml:space="preserve"> objectifs </w:t>
      </w:r>
      <w:r w:rsidR="008A4A9A">
        <w:rPr>
          <w:rFonts w:ascii="Arial" w:hAnsi="Arial" w:cs="Arial"/>
        </w:rPr>
        <w:t>ainsi que</w:t>
      </w:r>
      <w:r w:rsidR="00731FED">
        <w:rPr>
          <w:rFonts w:ascii="Arial" w:hAnsi="Arial" w:cs="Arial"/>
        </w:rPr>
        <w:t xml:space="preserve"> </w:t>
      </w:r>
      <w:r w:rsidR="00485170">
        <w:rPr>
          <w:rFonts w:ascii="Arial" w:hAnsi="Arial" w:cs="Arial"/>
        </w:rPr>
        <w:t>la</w:t>
      </w:r>
      <w:r w:rsidR="008B45DC">
        <w:rPr>
          <w:rFonts w:ascii="Arial" w:hAnsi="Arial" w:cs="Arial"/>
        </w:rPr>
        <w:t xml:space="preserve"> détermination</w:t>
      </w:r>
      <w:r w:rsidR="00485170">
        <w:rPr>
          <w:rFonts w:ascii="Arial" w:hAnsi="Arial" w:cs="Arial"/>
        </w:rPr>
        <w:t xml:space="preserve"> du gouvernement</w:t>
      </w:r>
      <w:r w:rsidR="00151F7B">
        <w:rPr>
          <w:rFonts w:ascii="Arial" w:hAnsi="Arial" w:cs="Arial"/>
        </w:rPr>
        <w:t xml:space="preserve"> à les atteindre</w:t>
      </w:r>
      <w:r w:rsidR="008B45DC">
        <w:rPr>
          <w:rFonts w:ascii="Arial" w:hAnsi="Arial" w:cs="Arial"/>
        </w:rPr>
        <w:t xml:space="preserve">. </w:t>
      </w:r>
      <w:r w:rsidR="00151F7B">
        <w:rPr>
          <w:rFonts w:ascii="Arial" w:hAnsi="Arial" w:cs="Arial"/>
        </w:rPr>
        <w:t>Finalement, il y a lieu de souligner que l</w:t>
      </w:r>
      <w:r w:rsidR="000F0B99">
        <w:rPr>
          <w:rFonts w:ascii="Arial" w:hAnsi="Arial" w:cs="Arial"/>
        </w:rPr>
        <w:t>’amélioration des conditions macro-économiques depuis le début de l’année constitue une base idéale pour y parvenir.</w:t>
      </w:r>
    </w:p>
    <w:p w:rsidR="00555D10" w:rsidRDefault="00555D10" w:rsidP="00BE54ED">
      <w:pPr>
        <w:spacing w:after="0" w:line="259" w:lineRule="auto"/>
        <w:rPr>
          <w:rFonts w:ascii="Arial" w:hAnsi="Arial" w:cs="Arial"/>
          <w:b/>
          <w:szCs w:val="20"/>
        </w:rPr>
      </w:pPr>
    </w:p>
    <w:p w:rsidR="008C033C" w:rsidRDefault="008C033C" w:rsidP="00BE54ED">
      <w:pPr>
        <w:spacing w:after="0" w:line="259" w:lineRule="auto"/>
        <w:rPr>
          <w:rFonts w:ascii="Arial" w:hAnsi="Arial" w:cs="Arial"/>
          <w:b/>
          <w:szCs w:val="20"/>
        </w:rPr>
      </w:pPr>
      <w:r>
        <w:rPr>
          <w:rFonts w:ascii="Arial" w:hAnsi="Arial" w:cs="Arial"/>
          <w:b/>
          <w:szCs w:val="20"/>
        </w:rPr>
        <w:t xml:space="preserve">Classement </w:t>
      </w:r>
      <w:r w:rsidRPr="003979A3">
        <w:rPr>
          <w:rFonts w:ascii="Arial" w:hAnsi="Arial" w:cs="Arial"/>
          <w:b/>
          <w:szCs w:val="20"/>
        </w:rPr>
        <w:t>des 30 premières</w:t>
      </w:r>
      <w:r>
        <w:rPr>
          <w:rFonts w:ascii="Arial" w:hAnsi="Arial" w:cs="Arial"/>
          <w:b/>
          <w:szCs w:val="20"/>
        </w:rPr>
        <w:t xml:space="preserve"> économies du rapport WEF 2014</w:t>
      </w: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r>
        <w:rPr>
          <w:noProof/>
          <w:szCs w:val="22"/>
          <w:lang w:val="en-US" w:eastAsia="en-US"/>
        </w:rPr>
        <w:drawing>
          <wp:anchor distT="0" distB="0" distL="114300" distR="114300" simplePos="0" relativeHeight="251691008" behindDoc="0" locked="0" layoutInCell="1" allowOverlap="1">
            <wp:simplePos x="0" y="0"/>
            <wp:positionH relativeFrom="column">
              <wp:posOffset>-165100</wp:posOffset>
            </wp:positionH>
            <wp:positionV relativeFrom="paragraph">
              <wp:posOffset>24130</wp:posOffset>
            </wp:positionV>
            <wp:extent cx="3291205" cy="3444875"/>
            <wp:effectExtent l="19050" t="0" r="4445" b="0"/>
            <wp:wrapNone/>
            <wp:docPr id="622" name="Picture 608" descr="Top 30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30_a.png"/>
                    <pic:cNvPicPr/>
                  </pic:nvPicPr>
                  <pic:blipFill>
                    <a:blip r:embed="rId17" cstate="print"/>
                    <a:stretch>
                      <a:fillRect/>
                    </a:stretch>
                  </pic:blipFill>
                  <pic:spPr>
                    <a:xfrm>
                      <a:off x="0" y="0"/>
                      <a:ext cx="3291205" cy="3444875"/>
                    </a:xfrm>
                    <a:prstGeom prst="rect">
                      <a:avLst/>
                    </a:prstGeom>
                  </pic:spPr>
                </pic:pic>
              </a:graphicData>
            </a:graphic>
          </wp:anchor>
        </w:drawing>
      </w:r>
    </w:p>
    <w:p w:rsidR="008C033C" w:rsidRDefault="008C033C" w:rsidP="00BE54ED">
      <w:pPr>
        <w:pStyle w:val="CDCNorm"/>
        <w:tabs>
          <w:tab w:val="left" w:pos="6674"/>
        </w:tabs>
        <w:spacing w:line="259" w:lineRule="auto"/>
        <w:rPr>
          <w:szCs w:val="22"/>
        </w:rPr>
      </w:pPr>
      <w:r>
        <w:rPr>
          <w:noProof/>
          <w:szCs w:val="22"/>
          <w:lang w:val="en-US" w:eastAsia="en-US"/>
        </w:rPr>
        <w:drawing>
          <wp:anchor distT="0" distB="0" distL="114300" distR="114300" simplePos="0" relativeHeight="251689984" behindDoc="0" locked="0" layoutInCell="1" allowOverlap="1">
            <wp:simplePos x="0" y="0"/>
            <wp:positionH relativeFrom="column">
              <wp:posOffset>3099435</wp:posOffset>
            </wp:positionH>
            <wp:positionV relativeFrom="paragraph">
              <wp:posOffset>76200</wp:posOffset>
            </wp:positionV>
            <wp:extent cx="3286125" cy="3232150"/>
            <wp:effectExtent l="19050" t="0" r="9525" b="0"/>
            <wp:wrapNone/>
            <wp:docPr id="623" name="Picture 604" descr="Top 30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30_b.png"/>
                    <pic:cNvPicPr/>
                  </pic:nvPicPr>
                  <pic:blipFill>
                    <a:blip r:embed="rId18" cstate="print"/>
                    <a:stretch>
                      <a:fillRect/>
                    </a:stretch>
                  </pic:blipFill>
                  <pic:spPr>
                    <a:xfrm>
                      <a:off x="0" y="0"/>
                      <a:ext cx="3286125" cy="3232150"/>
                    </a:xfrm>
                    <a:prstGeom prst="rect">
                      <a:avLst/>
                    </a:prstGeom>
                  </pic:spPr>
                </pic:pic>
              </a:graphicData>
            </a:graphic>
          </wp:anchor>
        </w:drawing>
      </w: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8C033C" w:rsidRDefault="008C033C" w:rsidP="00BE54ED">
      <w:pPr>
        <w:pStyle w:val="CDCNorm"/>
        <w:tabs>
          <w:tab w:val="left" w:pos="6674"/>
        </w:tabs>
        <w:spacing w:line="259" w:lineRule="auto"/>
        <w:rPr>
          <w:szCs w:val="22"/>
        </w:rPr>
      </w:pPr>
    </w:p>
    <w:p w:rsidR="00151F7B" w:rsidRPr="008C033C" w:rsidRDefault="008C033C" w:rsidP="00BE54ED">
      <w:pPr>
        <w:pStyle w:val="CDCNorm"/>
        <w:tabs>
          <w:tab w:val="left" w:pos="6674"/>
        </w:tabs>
        <w:spacing w:line="259" w:lineRule="auto"/>
        <w:rPr>
          <w:szCs w:val="22"/>
        </w:rPr>
      </w:pPr>
      <w:r>
        <w:rPr>
          <w:noProof/>
          <w:szCs w:val="22"/>
          <w:lang w:val="en-US" w:eastAsia="en-US"/>
        </w:rPr>
        <w:drawing>
          <wp:anchor distT="0" distB="0" distL="114300" distR="114300" simplePos="0" relativeHeight="251688960" behindDoc="0" locked="0" layoutInCell="1" allowOverlap="1">
            <wp:simplePos x="0" y="0"/>
            <wp:positionH relativeFrom="column">
              <wp:posOffset>951717</wp:posOffset>
            </wp:positionH>
            <wp:positionV relativeFrom="paragraph">
              <wp:posOffset>163535</wp:posOffset>
            </wp:positionV>
            <wp:extent cx="3946895" cy="350875"/>
            <wp:effectExtent l="19050" t="0" r="0" b="0"/>
            <wp:wrapNone/>
            <wp:docPr id="625" name="Picture 602" descr="Top 3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30_2.png"/>
                    <pic:cNvPicPr/>
                  </pic:nvPicPr>
                  <pic:blipFill>
                    <a:blip r:embed="rId19" cstate="print"/>
                    <a:stretch>
                      <a:fillRect/>
                    </a:stretch>
                  </pic:blipFill>
                  <pic:spPr>
                    <a:xfrm>
                      <a:off x="0" y="0"/>
                      <a:ext cx="3946895" cy="350875"/>
                    </a:xfrm>
                    <a:prstGeom prst="rect">
                      <a:avLst/>
                    </a:prstGeom>
                  </pic:spPr>
                </pic:pic>
              </a:graphicData>
            </a:graphic>
          </wp:anchor>
        </w:drawing>
      </w:r>
    </w:p>
    <w:p w:rsidR="00BC7A65" w:rsidRDefault="00BC7A65" w:rsidP="00BE54ED">
      <w:pPr>
        <w:spacing w:after="0" w:line="259" w:lineRule="auto"/>
        <w:rPr>
          <w:rFonts w:ascii="Arial" w:hAnsi="Arial" w:cs="Arial"/>
          <w:b/>
          <w:szCs w:val="20"/>
        </w:rPr>
      </w:pPr>
    </w:p>
    <w:p w:rsidR="00151F7B" w:rsidRPr="00151F7B" w:rsidRDefault="00D34018" w:rsidP="00BE54ED">
      <w:pPr>
        <w:spacing w:after="0" w:line="259" w:lineRule="auto"/>
        <w:rPr>
          <w:rFonts w:ascii="Arial" w:hAnsi="Arial" w:cs="Arial"/>
          <w:b/>
          <w:szCs w:val="20"/>
        </w:rPr>
      </w:pPr>
      <w:r>
        <w:rPr>
          <w:rFonts w:ascii="Arial" w:hAnsi="Arial" w:cs="Arial"/>
          <w:b/>
          <w:szCs w:val="20"/>
        </w:rPr>
        <w:lastRenderedPageBreak/>
        <w:t xml:space="preserve">Vue </w:t>
      </w:r>
      <w:r w:rsidR="00301C21">
        <w:rPr>
          <w:rFonts w:ascii="Arial" w:hAnsi="Arial" w:cs="Arial"/>
          <w:b/>
          <w:szCs w:val="20"/>
        </w:rPr>
        <w:t>détaillé</w:t>
      </w:r>
      <w:r>
        <w:rPr>
          <w:rFonts w:ascii="Arial" w:hAnsi="Arial" w:cs="Arial"/>
          <w:b/>
          <w:szCs w:val="20"/>
        </w:rPr>
        <w:t>e</w:t>
      </w:r>
      <w:r w:rsidR="00301C21">
        <w:rPr>
          <w:rFonts w:ascii="Arial" w:hAnsi="Arial" w:cs="Arial"/>
          <w:b/>
          <w:szCs w:val="20"/>
        </w:rPr>
        <w:t xml:space="preserve"> </w:t>
      </w:r>
      <w:r w:rsidR="0040125C">
        <w:rPr>
          <w:rFonts w:ascii="Arial" w:hAnsi="Arial" w:cs="Arial"/>
          <w:b/>
          <w:szCs w:val="20"/>
        </w:rPr>
        <w:t>des</w:t>
      </w:r>
      <w:r w:rsidR="00151F7B">
        <w:rPr>
          <w:rFonts w:ascii="Arial" w:hAnsi="Arial" w:cs="Arial"/>
          <w:b/>
          <w:szCs w:val="20"/>
        </w:rPr>
        <w:t xml:space="preserve"> résultats pour le Luxembourg</w:t>
      </w:r>
    </w:p>
    <w:p w:rsidR="00E60387" w:rsidRDefault="00555D10" w:rsidP="00BE54ED">
      <w:pPr>
        <w:spacing w:after="0" w:line="259" w:lineRule="auto"/>
        <w:rPr>
          <w:rFonts w:ascii="Arial" w:hAnsi="Arial" w:cs="Arial"/>
          <w:szCs w:val="20"/>
        </w:rPr>
      </w:pPr>
      <w:r>
        <w:rPr>
          <w:rFonts w:ascii="Arial" w:hAnsi="Arial" w:cs="Arial"/>
          <w:noProof/>
          <w:szCs w:val="20"/>
          <w:lang w:val="en-US"/>
        </w:rPr>
        <w:drawing>
          <wp:anchor distT="0" distB="0" distL="114300" distR="114300" simplePos="0" relativeHeight="251666432" behindDoc="0" locked="0" layoutInCell="1" allowOverlap="1">
            <wp:simplePos x="0" y="0"/>
            <wp:positionH relativeFrom="column">
              <wp:posOffset>-28575</wp:posOffset>
            </wp:positionH>
            <wp:positionV relativeFrom="paragraph">
              <wp:posOffset>99060</wp:posOffset>
            </wp:positionV>
            <wp:extent cx="3128010" cy="4529455"/>
            <wp:effectExtent l="19050" t="0" r="0" b="0"/>
            <wp:wrapNone/>
            <wp:docPr id="619" name="Picture 618" descr="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png"/>
                    <pic:cNvPicPr/>
                  </pic:nvPicPr>
                  <pic:blipFill>
                    <a:blip r:embed="rId20" cstate="print"/>
                    <a:stretch>
                      <a:fillRect/>
                    </a:stretch>
                  </pic:blipFill>
                  <pic:spPr>
                    <a:xfrm>
                      <a:off x="0" y="0"/>
                      <a:ext cx="3128010" cy="4529455"/>
                    </a:xfrm>
                    <a:prstGeom prst="rect">
                      <a:avLst/>
                    </a:prstGeom>
                  </pic:spPr>
                </pic:pic>
              </a:graphicData>
            </a:graphic>
          </wp:anchor>
        </w:drawing>
      </w:r>
      <w:r w:rsidR="00350E67">
        <w:rPr>
          <w:rFonts w:ascii="Arial" w:hAnsi="Arial" w:cs="Arial"/>
          <w:noProof/>
          <w:szCs w:val="20"/>
          <w:lang w:val="en-US"/>
        </w:rPr>
        <w:drawing>
          <wp:anchor distT="0" distB="0" distL="114300" distR="114300" simplePos="0" relativeHeight="251670528" behindDoc="0" locked="0" layoutInCell="1" allowOverlap="1">
            <wp:simplePos x="0" y="0"/>
            <wp:positionH relativeFrom="column">
              <wp:posOffset>3078229</wp:posOffset>
            </wp:positionH>
            <wp:positionV relativeFrom="paragraph">
              <wp:posOffset>102161</wp:posOffset>
            </wp:positionV>
            <wp:extent cx="3130565" cy="4603897"/>
            <wp:effectExtent l="19050" t="0" r="0" b="0"/>
            <wp:wrapNone/>
            <wp:docPr id="626" name="Picture 625" descr="p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8.png"/>
                    <pic:cNvPicPr/>
                  </pic:nvPicPr>
                  <pic:blipFill>
                    <a:blip r:embed="rId21" cstate="print"/>
                    <a:stretch>
                      <a:fillRect/>
                    </a:stretch>
                  </pic:blipFill>
                  <pic:spPr>
                    <a:xfrm>
                      <a:off x="0" y="0"/>
                      <a:ext cx="3130565" cy="4603897"/>
                    </a:xfrm>
                    <a:prstGeom prst="rect">
                      <a:avLst/>
                    </a:prstGeom>
                  </pic:spPr>
                </pic:pic>
              </a:graphicData>
            </a:graphic>
          </wp:anchor>
        </w:drawing>
      </w:r>
    </w:p>
    <w:p w:rsidR="003502FA" w:rsidRPr="00AD344A" w:rsidRDefault="003502FA" w:rsidP="00BE54ED">
      <w:pPr>
        <w:spacing w:after="0" w:line="259" w:lineRule="auto"/>
        <w:jc w:val="center"/>
        <w:rPr>
          <w:rFonts w:ascii="Arial" w:hAnsi="Arial" w:cs="Arial"/>
          <w:b/>
          <w:szCs w:val="20"/>
        </w:rPr>
      </w:pPr>
      <w:r w:rsidRPr="003502FA">
        <w:rPr>
          <w:rFonts w:ascii="Arial" w:hAnsi="Arial" w:cs="Arial"/>
          <w:b/>
          <w:szCs w:val="20"/>
        </w:rPr>
        <w:t xml:space="preserve"> </w:t>
      </w:r>
    </w:p>
    <w:p w:rsidR="003502FA" w:rsidRDefault="003502FA" w:rsidP="00BE54ED">
      <w:pPr>
        <w:pStyle w:val="CDCNorm"/>
        <w:tabs>
          <w:tab w:val="left" w:pos="6674"/>
        </w:tabs>
        <w:spacing w:line="259" w:lineRule="auto"/>
        <w:rPr>
          <w:szCs w:val="22"/>
        </w:rPr>
      </w:pPr>
    </w:p>
    <w:p w:rsidR="003502FA" w:rsidRDefault="003502FA" w:rsidP="00BE54ED">
      <w:pPr>
        <w:pStyle w:val="CDCNorm"/>
        <w:tabs>
          <w:tab w:val="left" w:pos="6674"/>
        </w:tabs>
        <w:spacing w:line="259" w:lineRule="auto"/>
        <w:rPr>
          <w:szCs w:val="22"/>
        </w:rPr>
      </w:pPr>
    </w:p>
    <w:p w:rsidR="003502FA" w:rsidRDefault="003502FA" w:rsidP="00BE54ED">
      <w:pPr>
        <w:pStyle w:val="CDCNorm"/>
        <w:tabs>
          <w:tab w:val="left" w:pos="6674"/>
        </w:tabs>
        <w:spacing w:line="259" w:lineRule="auto"/>
        <w:rPr>
          <w:szCs w:val="22"/>
        </w:rPr>
      </w:pPr>
    </w:p>
    <w:p w:rsidR="003502FA" w:rsidRDefault="003502FA" w:rsidP="00BE54ED">
      <w:pPr>
        <w:pStyle w:val="CDCNorm"/>
        <w:tabs>
          <w:tab w:val="left" w:pos="6674"/>
        </w:tabs>
        <w:spacing w:line="259" w:lineRule="auto"/>
        <w:rPr>
          <w:szCs w:val="22"/>
        </w:rPr>
      </w:pPr>
    </w:p>
    <w:p w:rsidR="003502FA" w:rsidRDefault="003502FA"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B82A90" w:rsidP="00BE54ED">
      <w:pPr>
        <w:pStyle w:val="CDCNorm"/>
        <w:tabs>
          <w:tab w:val="left" w:pos="6674"/>
        </w:tabs>
        <w:spacing w:line="259" w:lineRule="auto"/>
        <w:rPr>
          <w:szCs w:val="22"/>
        </w:rPr>
      </w:pPr>
      <w:r>
        <w:rPr>
          <w:noProof/>
          <w:szCs w:val="22"/>
          <w:lang w:val="en-US" w:eastAsia="en-US"/>
        </w:rPr>
        <w:drawing>
          <wp:anchor distT="0" distB="0" distL="114300" distR="114300" simplePos="0" relativeHeight="251671552" behindDoc="0" locked="0" layoutInCell="1" allowOverlap="1">
            <wp:simplePos x="0" y="0"/>
            <wp:positionH relativeFrom="column">
              <wp:posOffset>3131185</wp:posOffset>
            </wp:positionH>
            <wp:positionV relativeFrom="paragraph">
              <wp:posOffset>84455</wp:posOffset>
            </wp:positionV>
            <wp:extent cx="2915285" cy="4263390"/>
            <wp:effectExtent l="19050" t="0" r="0" b="0"/>
            <wp:wrapNone/>
            <wp:docPr id="627" name="Picture 626" descr="p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12.png"/>
                    <pic:cNvPicPr/>
                  </pic:nvPicPr>
                  <pic:blipFill>
                    <a:blip r:embed="rId22" cstate="print"/>
                    <a:stretch>
                      <a:fillRect/>
                    </a:stretch>
                  </pic:blipFill>
                  <pic:spPr>
                    <a:xfrm>
                      <a:off x="0" y="0"/>
                      <a:ext cx="2915285" cy="4263390"/>
                    </a:xfrm>
                    <a:prstGeom prst="rect">
                      <a:avLst/>
                    </a:prstGeom>
                  </pic:spPr>
                </pic:pic>
              </a:graphicData>
            </a:graphic>
          </wp:anchor>
        </w:drawing>
      </w:r>
      <w:r>
        <w:rPr>
          <w:noProof/>
          <w:szCs w:val="22"/>
          <w:lang w:val="en-US" w:eastAsia="en-US"/>
        </w:rPr>
        <w:drawing>
          <wp:anchor distT="0" distB="0" distL="114300" distR="114300" simplePos="0" relativeHeight="251669504" behindDoc="0" locked="0" layoutInCell="1" allowOverlap="1">
            <wp:simplePos x="0" y="0"/>
            <wp:positionH relativeFrom="column">
              <wp:posOffset>-147084</wp:posOffset>
            </wp:positionH>
            <wp:positionV relativeFrom="paragraph">
              <wp:posOffset>86277</wp:posOffset>
            </wp:positionV>
            <wp:extent cx="3248793" cy="3678865"/>
            <wp:effectExtent l="19050" t="0" r="8757" b="0"/>
            <wp:wrapNone/>
            <wp:docPr id="624" name="Picture 623" descr="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png"/>
                    <pic:cNvPicPr/>
                  </pic:nvPicPr>
                  <pic:blipFill>
                    <a:blip r:embed="rId23" cstate="print"/>
                    <a:stretch>
                      <a:fillRect/>
                    </a:stretch>
                  </pic:blipFill>
                  <pic:spPr>
                    <a:xfrm>
                      <a:off x="0" y="0"/>
                      <a:ext cx="3248793" cy="3678865"/>
                    </a:xfrm>
                    <a:prstGeom prst="rect">
                      <a:avLst/>
                    </a:prstGeom>
                  </pic:spPr>
                </pic:pic>
              </a:graphicData>
            </a:graphic>
          </wp:anchor>
        </w:drawing>
      </w: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D23682" w:rsidRDefault="00D23682" w:rsidP="00BE54ED">
      <w:pPr>
        <w:pStyle w:val="CDCNorm"/>
        <w:tabs>
          <w:tab w:val="left" w:pos="6674"/>
        </w:tabs>
        <w:spacing w:line="259" w:lineRule="auto"/>
        <w:rPr>
          <w:szCs w:val="22"/>
        </w:rPr>
      </w:pPr>
    </w:p>
    <w:p w:rsidR="008C033C" w:rsidRDefault="008C033C" w:rsidP="00BE54ED">
      <w:pPr>
        <w:spacing w:after="0" w:line="259" w:lineRule="auto"/>
        <w:rPr>
          <w:rFonts w:ascii="Arial" w:hAnsi="Arial" w:cs="Times New Roman"/>
          <w:lang w:eastAsia="fr-LU"/>
        </w:rPr>
        <w:sectPr w:rsidR="008C033C" w:rsidSect="008B2E12">
          <w:pgSz w:w="11906" w:h="16838"/>
          <w:pgMar w:top="1304" w:right="992" w:bottom="1361" w:left="1304" w:header="709" w:footer="709" w:gutter="0"/>
          <w:cols w:space="708"/>
          <w:docGrid w:linePitch="360"/>
        </w:sectPr>
      </w:pPr>
    </w:p>
    <w:p w:rsidR="002114B9" w:rsidRPr="0029277E" w:rsidRDefault="002114B9" w:rsidP="00BE54ED">
      <w:pPr>
        <w:pStyle w:val="CDCNorm"/>
        <w:tabs>
          <w:tab w:val="left" w:pos="6674"/>
        </w:tabs>
        <w:spacing w:line="259" w:lineRule="auto"/>
        <w:rPr>
          <w:b/>
          <w:szCs w:val="22"/>
          <w:lang w:val="fr-FR"/>
        </w:rPr>
      </w:pPr>
      <w:r>
        <w:rPr>
          <w:b/>
          <w:szCs w:val="22"/>
          <w:lang w:val="fr-FR"/>
        </w:rPr>
        <w:lastRenderedPageBreak/>
        <w:t>Encart méthodologique</w:t>
      </w:r>
    </w:p>
    <w:p w:rsidR="002114B9" w:rsidRDefault="002114B9" w:rsidP="00BE54ED">
      <w:pPr>
        <w:pStyle w:val="CDCNorm"/>
        <w:tabs>
          <w:tab w:val="left" w:pos="6674"/>
        </w:tabs>
        <w:spacing w:line="259" w:lineRule="auto"/>
        <w:rPr>
          <w:szCs w:val="22"/>
          <w:lang w:val="fr-FR"/>
        </w:rPr>
      </w:pPr>
    </w:p>
    <w:p w:rsidR="002114B9" w:rsidRDefault="002114B9" w:rsidP="00BE54ED">
      <w:pPr>
        <w:pStyle w:val="CDCNorm"/>
        <w:tabs>
          <w:tab w:val="left" w:pos="6674"/>
        </w:tabs>
        <w:spacing w:line="259" w:lineRule="auto"/>
        <w:rPr>
          <w:szCs w:val="22"/>
          <w:lang w:val="fr-FR"/>
        </w:rPr>
      </w:pPr>
      <w:r>
        <w:rPr>
          <w:szCs w:val="22"/>
          <w:lang w:val="fr-FR"/>
        </w:rPr>
        <w:t>Le GCR</w:t>
      </w:r>
      <w:r w:rsidRPr="00D56C17">
        <w:rPr>
          <w:szCs w:val="22"/>
          <w:lang w:val="fr-FR"/>
        </w:rPr>
        <w:t xml:space="preserve"> affiche certaines particularités au niveau de la méthode</w:t>
      </w:r>
      <w:r>
        <w:rPr>
          <w:szCs w:val="22"/>
          <w:lang w:val="fr-FR"/>
        </w:rPr>
        <w:t xml:space="preserve"> appliquée pour évaluer</w:t>
      </w:r>
      <w:r w:rsidRPr="00D56C17">
        <w:rPr>
          <w:szCs w:val="22"/>
          <w:lang w:val="fr-FR"/>
        </w:rPr>
        <w:t xml:space="preserve"> la compétitivité</w:t>
      </w:r>
      <w:r>
        <w:rPr>
          <w:szCs w:val="22"/>
          <w:lang w:val="fr-FR"/>
        </w:rPr>
        <w:t xml:space="preserve"> des pays participants. Le calcul de la compétitivité repose notamment sur l’analyse de 12 piliers, rattachés à trois sous-indices, qui définissent la compétitivité : (1), les « conditions de base » (institutions, infrastructures, environnement macroéconomique, santé et enseignement primaire) ; (2) les « facteurs d’efficacité » (enseignement </w:t>
      </w:r>
      <w:r w:rsidR="003B18CF">
        <w:rPr>
          <w:szCs w:val="22"/>
          <w:lang w:val="fr-FR"/>
        </w:rPr>
        <w:t>post-primaire</w:t>
      </w:r>
      <w:r>
        <w:rPr>
          <w:szCs w:val="22"/>
          <w:lang w:val="fr-FR"/>
        </w:rPr>
        <w:t xml:space="preserve"> et formation, efficacité du marché des biens, efficacité du marché de travail, développement du marché financier, aptitude technologique, taille du marché) ; et (3) les « vecteurs d’innovation » (sophistication des activités et innovation). </w:t>
      </w:r>
      <w:r w:rsidRPr="00D56C17">
        <w:rPr>
          <w:szCs w:val="22"/>
          <w:lang w:val="fr-FR"/>
        </w:rPr>
        <w:t>Bien que chacun des 12 piliers</w:t>
      </w:r>
      <w:r>
        <w:rPr>
          <w:szCs w:val="22"/>
          <w:lang w:val="fr-FR"/>
        </w:rPr>
        <w:t xml:space="preserve"> analysés</w:t>
      </w:r>
      <w:r w:rsidRPr="00D56C17">
        <w:rPr>
          <w:szCs w:val="22"/>
          <w:lang w:val="fr-FR"/>
        </w:rPr>
        <w:t xml:space="preserve"> soit important pour chaque pays </w:t>
      </w:r>
      <w:r w:rsidR="007B24C1">
        <w:rPr>
          <w:szCs w:val="22"/>
          <w:lang w:val="fr-FR"/>
        </w:rPr>
        <w:t>analysé</w:t>
      </w:r>
      <w:r w:rsidRPr="00D56C17">
        <w:rPr>
          <w:szCs w:val="22"/>
          <w:lang w:val="fr-FR"/>
        </w:rPr>
        <w:t xml:space="preserve">, l’importance relative d’un pilier </w:t>
      </w:r>
      <w:r>
        <w:rPr>
          <w:szCs w:val="22"/>
          <w:lang w:val="fr-FR"/>
        </w:rPr>
        <w:t>de compétitivité dépend du</w:t>
      </w:r>
      <w:r w:rsidRPr="00D56C17">
        <w:rPr>
          <w:szCs w:val="22"/>
          <w:lang w:val="fr-FR"/>
        </w:rPr>
        <w:t xml:space="preserve"> stade de développement</w:t>
      </w:r>
      <w:r w:rsidRPr="007A4B30">
        <w:rPr>
          <w:szCs w:val="22"/>
          <w:lang w:val="fr-FR"/>
        </w:rPr>
        <w:t xml:space="preserve"> </w:t>
      </w:r>
      <w:r w:rsidRPr="00D56C17">
        <w:rPr>
          <w:szCs w:val="22"/>
          <w:lang w:val="fr-FR"/>
        </w:rPr>
        <w:t>économique</w:t>
      </w:r>
      <w:r>
        <w:rPr>
          <w:szCs w:val="22"/>
          <w:lang w:val="fr-FR"/>
        </w:rPr>
        <w:t xml:space="preserve"> </w:t>
      </w:r>
      <w:r w:rsidR="007B24C1">
        <w:rPr>
          <w:szCs w:val="22"/>
          <w:lang w:val="fr-FR"/>
        </w:rPr>
        <w:t>du pays en question</w:t>
      </w:r>
      <w:r>
        <w:rPr>
          <w:szCs w:val="22"/>
          <w:lang w:val="fr-FR"/>
        </w:rPr>
        <w:t xml:space="preserve">. </w:t>
      </w:r>
    </w:p>
    <w:p w:rsidR="002114B9" w:rsidRDefault="002114B9" w:rsidP="00BE54ED">
      <w:pPr>
        <w:pStyle w:val="CDCNorm"/>
        <w:tabs>
          <w:tab w:val="left" w:pos="6674"/>
        </w:tabs>
        <w:spacing w:line="259" w:lineRule="auto"/>
        <w:rPr>
          <w:szCs w:val="22"/>
          <w:lang w:val="fr-FR"/>
        </w:rPr>
      </w:pPr>
    </w:p>
    <w:p w:rsidR="002114B9" w:rsidRDefault="003B18CF" w:rsidP="00BE54ED">
      <w:pPr>
        <w:pStyle w:val="CDCNorm"/>
        <w:tabs>
          <w:tab w:val="left" w:pos="6674"/>
        </w:tabs>
        <w:spacing w:line="259" w:lineRule="auto"/>
        <w:rPr>
          <w:szCs w:val="22"/>
          <w:lang w:val="fr-FR"/>
        </w:rPr>
      </w:pPr>
      <w:r>
        <w:rPr>
          <w:szCs w:val="22"/>
          <w:lang w:val="fr-FR"/>
        </w:rPr>
        <w:t>A cette fin, l</w:t>
      </w:r>
      <w:r w:rsidR="002114B9">
        <w:rPr>
          <w:szCs w:val="22"/>
          <w:lang w:val="fr-FR"/>
        </w:rPr>
        <w:t xml:space="preserve">e WEF </w:t>
      </w:r>
      <w:r w:rsidR="002114B9" w:rsidRPr="00D56C17">
        <w:rPr>
          <w:szCs w:val="22"/>
          <w:lang w:val="fr-FR"/>
        </w:rPr>
        <w:t>distingue</w:t>
      </w:r>
      <w:r>
        <w:rPr>
          <w:szCs w:val="22"/>
          <w:lang w:val="fr-FR"/>
        </w:rPr>
        <w:t xml:space="preserve">, outre deux stades intermédiaires, </w:t>
      </w:r>
      <w:r w:rsidR="002114B9">
        <w:rPr>
          <w:szCs w:val="22"/>
          <w:lang w:val="fr-FR"/>
        </w:rPr>
        <w:t>entre</w:t>
      </w:r>
      <w:r w:rsidR="002114B9" w:rsidRPr="00D56C17">
        <w:rPr>
          <w:szCs w:val="22"/>
          <w:lang w:val="fr-FR"/>
        </w:rPr>
        <w:t xml:space="preserve"> trois stades principaux, dont un premier est lié</w:t>
      </w:r>
      <w:r w:rsidR="00A36175">
        <w:rPr>
          <w:szCs w:val="22"/>
          <w:lang w:val="fr-FR"/>
        </w:rPr>
        <w:t xml:space="preserve"> aux économies dépendant singulièrement des</w:t>
      </w:r>
      <w:r w:rsidR="002114B9" w:rsidRPr="00D56C17">
        <w:rPr>
          <w:szCs w:val="22"/>
          <w:lang w:val="fr-FR"/>
        </w:rPr>
        <w:t xml:space="preserve"> facteurs</w:t>
      </w:r>
      <w:r w:rsidR="002114B9">
        <w:rPr>
          <w:szCs w:val="22"/>
          <w:lang w:val="fr-FR"/>
        </w:rPr>
        <w:t xml:space="preserve"> de production</w:t>
      </w:r>
      <w:r w:rsidR="002114B9" w:rsidRPr="00D56C17">
        <w:rPr>
          <w:szCs w:val="22"/>
          <w:lang w:val="fr-FR"/>
        </w:rPr>
        <w:t xml:space="preserve"> disponibles (traditionnellement : travail non qualifié, ressources naturelles)</w:t>
      </w:r>
      <w:r w:rsidR="002114B9">
        <w:rPr>
          <w:szCs w:val="22"/>
          <w:lang w:val="fr-FR"/>
        </w:rPr>
        <w:t xml:space="preserve"> (cas</w:t>
      </w:r>
      <w:r w:rsidR="007B24C1">
        <w:rPr>
          <w:szCs w:val="22"/>
          <w:lang w:val="fr-FR"/>
        </w:rPr>
        <w:t>-type</w:t>
      </w:r>
      <w:r w:rsidR="002114B9">
        <w:rPr>
          <w:szCs w:val="22"/>
          <w:lang w:val="fr-FR"/>
        </w:rPr>
        <w:t xml:space="preserve"> des pays en voie de développement)</w:t>
      </w:r>
      <w:r w:rsidR="002114B9" w:rsidRPr="00D56C17">
        <w:rPr>
          <w:szCs w:val="22"/>
          <w:lang w:val="fr-FR"/>
        </w:rPr>
        <w:t xml:space="preserve">, un deuxième qui comprend les économies qui se voient </w:t>
      </w:r>
      <w:r w:rsidR="007B24C1">
        <w:rPr>
          <w:szCs w:val="22"/>
          <w:lang w:val="fr-FR"/>
        </w:rPr>
        <w:t>contraintes</w:t>
      </w:r>
      <w:r w:rsidR="002114B9" w:rsidRPr="00D56C17">
        <w:rPr>
          <w:szCs w:val="22"/>
          <w:lang w:val="fr-FR"/>
        </w:rPr>
        <w:t xml:space="preserve"> d’augmenter l’efficacité de leur processus de production et</w:t>
      </w:r>
      <w:r w:rsidR="00A36175">
        <w:rPr>
          <w:szCs w:val="22"/>
          <w:lang w:val="fr-FR"/>
        </w:rPr>
        <w:t xml:space="preserve"> la</w:t>
      </w:r>
      <w:r w:rsidR="002114B9" w:rsidRPr="00D56C17">
        <w:rPr>
          <w:szCs w:val="22"/>
          <w:lang w:val="fr-FR"/>
        </w:rPr>
        <w:t xml:space="preserve"> qualité des produits en raison de l’augmentation </w:t>
      </w:r>
      <w:r w:rsidR="002114B9">
        <w:rPr>
          <w:szCs w:val="22"/>
          <w:lang w:val="fr-FR"/>
        </w:rPr>
        <w:t xml:space="preserve">notamment des coûts </w:t>
      </w:r>
      <w:r w:rsidR="00A36175">
        <w:rPr>
          <w:szCs w:val="22"/>
          <w:lang w:val="fr-FR"/>
        </w:rPr>
        <w:t>de production</w:t>
      </w:r>
      <w:r w:rsidR="002114B9" w:rsidRPr="00D56C17">
        <w:rPr>
          <w:szCs w:val="22"/>
          <w:lang w:val="fr-FR"/>
        </w:rPr>
        <w:t xml:space="preserve"> </w:t>
      </w:r>
      <w:r w:rsidR="002114B9">
        <w:rPr>
          <w:szCs w:val="22"/>
          <w:lang w:val="fr-FR"/>
        </w:rPr>
        <w:t>(pays en transition)</w:t>
      </w:r>
      <w:r w:rsidR="002114B9" w:rsidRPr="00D56C17">
        <w:rPr>
          <w:szCs w:val="22"/>
          <w:lang w:val="fr-FR"/>
        </w:rPr>
        <w:t xml:space="preserve">, et un troisième stade </w:t>
      </w:r>
      <w:r w:rsidR="002114B9">
        <w:rPr>
          <w:szCs w:val="22"/>
          <w:lang w:val="fr-FR"/>
        </w:rPr>
        <w:t>-</w:t>
      </w:r>
      <w:r w:rsidR="002114B9" w:rsidRPr="00D56C17">
        <w:rPr>
          <w:szCs w:val="22"/>
          <w:lang w:val="fr-FR"/>
        </w:rPr>
        <w:t xml:space="preserve"> selon lequel est évalué le Luxembourg - qui est caractérisé</w:t>
      </w:r>
      <w:r w:rsidR="002114B9">
        <w:rPr>
          <w:szCs w:val="22"/>
          <w:lang w:val="fr-FR"/>
        </w:rPr>
        <w:t xml:space="preserve"> par la</w:t>
      </w:r>
      <w:r w:rsidR="002114B9" w:rsidRPr="00D56C17">
        <w:rPr>
          <w:szCs w:val="22"/>
          <w:lang w:val="fr-FR"/>
        </w:rPr>
        <w:t xml:space="preserve"> production de biens et de services sophistiqués</w:t>
      </w:r>
      <w:r w:rsidR="002114B9">
        <w:rPr>
          <w:szCs w:val="22"/>
          <w:lang w:val="fr-FR"/>
        </w:rPr>
        <w:t xml:space="preserve">, à haute valeur ajoutée et dont la différentiation par rapport aux concurrents directs comporte une </w:t>
      </w:r>
      <w:r w:rsidR="007B24C1">
        <w:rPr>
          <w:szCs w:val="22"/>
          <w:lang w:val="fr-FR"/>
        </w:rPr>
        <w:t>très</w:t>
      </w:r>
      <w:r w:rsidR="002114B9">
        <w:rPr>
          <w:szCs w:val="22"/>
          <w:lang w:val="fr-FR"/>
        </w:rPr>
        <w:t xml:space="preserve"> importante composante « hors-coûts », tout en ne négligeant pas tout à fait les dimensions « prix » et « coûts ». En fonction du stade de développement du pays analysé, les 12 piliers, qui sont donc associées à</w:t>
      </w:r>
      <w:r w:rsidR="002114B9" w:rsidRPr="00D56C17">
        <w:rPr>
          <w:szCs w:val="22"/>
          <w:lang w:val="fr-FR"/>
        </w:rPr>
        <w:t xml:space="preserve"> </w:t>
      </w:r>
      <w:r w:rsidR="002114B9">
        <w:rPr>
          <w:szCs w:val="22"/>
          <w:lang w:val="fr-FR"/>
        </w:rPr>
        <w:t>trois sous-indices, les « conditions de base » (poids de 20% pour le Luxembourg), les « facteurs d’efficacité » (50%) et les « vecteurs d’innovation » (30%) sont pondérés différemment dans la note finale.</w:t>
      </w:r>
    </w:p>
    <w:p w:rsidR="002114B9" w:rsidRDefault="002114B9" w:rsidP="00BE54ED">
      <w:pPr>
        <w:pStyle w:val="CDCNorm"/>
        <w:tabs>
          <w:tab w:val="left" w:pos="6674"/>
        </w:tabs>
        <w:spacing w:line="259" w:lineRule="auto"/>
        <w:rPr>
          <w:szCs w:val="22"/>
          <w:lang w:val="fr-FR"/>
        </w:rPr>
      </w:pPr>
    </w:p>
    <w:p w:rsidR="002114B9" w:rsidRPr="007A4B30" w:rsidRDefault="002114B9" w:rsidP="00BE54ED">
      <w:pPr>
        <w:pStyle w:val="CDCNorm"/>
        <w:tabs>
          <w:tab w:val="left" w:pos="6674"/>
        </w:tabs>
        <w:spacing w:line="259" w:lineRule="auto"/>
        <w:rPr>
          <w:szCs w:val="22"/>
          <w:lang w:val="fr-FR"/>
        </w:rPr>
      </w:pPr>
      <w:r w:rsidRPr="00D56C17">
        <w:rPr>
          <w:szCs w:val="22"/>
          <w:lang w:val="fr-FR"/>
        </w:rPr>
        <w:t xml:space="preserve">Alors que cette approche vise à faciliter et améliorer l’exercice de comparaison en matière de compétitivité, il </w:t>
      </w:r>
      <w:r>
        <w:rPr>
          <w:szCs w:val="22"/>
          <w:lang w:val="fr-FR"/>
        </w:rPr>
        <w:t>comporte en</w:t>
      </w:r>
      <w:r w:rsidRPr="00D56C17">
        <w:rPr>
          <w:szCs w:val="22"/>
          <w:lang w:val="fr-FR"/>
        </w:rPr>
        <w:t xml:space="preserve"> même temps le risque d’attribuer trop</w:t>
      </w:r>
      <w:r w:rsidR="00A36175">
        <w:rPr>
          <w:szCs w:val="22"/>
          <w:lang w:val="fr-FR"/>
        </w:rPr>
        <w:t>,</w:t>
      </w:r>
      <w:r w:rsidRPr="00D56C17">
        <w:rPr>
          <w:szCs w:val="22"/>
          <w:lang w:val="fr-FR"/>
        </w:rPr>
        <w:t xml:space="preserve"> ou</w:t>
      </w:r>
      <w:r w:rsidR="00A36175">
        <w:rPr>
          <w:szCs w:val="22"/>
          <w:lang w:val="fr-FR"/>
        </w:rPr>
        <w:t xml:space="preserve"> au contraire</w:t>
      </w:r>
      <w:r w:rsidRPr="00D56C17">
        <w:rPr>
          <w:szCs w:val="22"/>
          <w:lang w:val="fr-FR"/>
        </w:rPr>
        <w:t xml:space="preserve"> </w:t>
      </w:r>
      <w:r>
        <w:rPr>
          <w:szCs w:val="22"/>
          <w:lang w:val="fr-FR"/>
        </w:rPr>
        <w:t>in</w:t>
      </w:r>
      <w:r w:rsidRPr="00D56C17">
        <w:rPr>
          <w:szCs w:val="22"/>
          <w:lang w:val="fr-FR"/>
        </w:rPr>
        <w:t>suffisamment</w:t>
      </w:r>
      <w:r w:rsidR="00A36175">
        <w:rPr>
          <w:szCs w:val="22"/>
          <w:lang w:val="fr-FR"/>
        </w:rPr>
        <w:t>,</w:t>
      </w:r>
      <w:r w:rsidRPr="00D56C17">
        <w:rPr>
          <w:szCs w:val="22"/>
          <w:lang w:val="fr-FR"/>
        </w:rPr>
        <w:t xml:space="preserve"> d’importance à certains indicateurs. Néanmoins, </w:t>
      </w:r>
      <w:r>
        <w:rPr>
          <w:szCs w:val="22"/>
          <w:lang w:val="fr-FR"/>
        </w:rPr>
        <w:t xml:space="preserve">utilisé de manière raisonnable et en connaissance de cause, </w:t>
      </w:r>
      <w:r w:rsidRPr="00D56C17">
        <w:rPr>
          <w:szCs w:val="22"/>
          <w:lang w:val="fr-FR"/>
        </w:rPr>
        <w:t xml:space="preserve">le classement WEF demeure un </w:t>
      </w:r>
      <w:r>
        <w:rPr>
          <w:szCs w:val="22"/>
          <w:lang w:val="fr-FR"/>
        </w:rPr>
        <w:t>instrument</w:t>
      </w:r>
      <w:r w:rsidRPr="00D56C17">
        <w:rPr>
          <w:szCs w:val="22"/>
          <w:lang w:val="fr-FR"/>
        </w:rPr>
        <w:t xml:space="preserve"> utile à la prise de décision pour les autorités politiques des pays concernés puisqu’il permet de visualiser rapidement les forces et faiblesses de chacune des dimensions-clés de leur compétitivité. La comparaison </w:t>
      </w:r>
      <w:r w:rsidR="00797927">
        <w:rPr>
          <w:szCs w:val="22"/>
          <w:lang w:val="fr-FR"/>
        </w:rPr>
        <w:t>doit</w:t>
      </w:r>
      <w:r w:rsidRPr="00D56C17">
        <w:rPr>
          <w:szCs w:val="22"/>
          <w:lang w:val="fr-FR"/>
        </w:rPr>
        <w:t xml:space="preserve"> se faire à la fois dans l’espace (entre le Luxembourg et d’autres zones géographiques</w:t>
      </w:r>
      <w:r w:rsidR="00797927">
        <w:rPr>
          <w:szCs w:val="22"/>
          <w:lang w:val="fr-FR"/>
        </w:rPr>
        <w:t xml:space="preserve"> comparables</w:t>
      </w:r>
      <w:r w:rsidRPr="00D56C17">
        <w:rPr>
          <w:szCs w:val="22"/>
          <w:lang w:val="fr-FR"/>
        </w:rPr>
        <w:t>) et dans le temps (performances du Luxembourg au fil des années).</w:t>
      </w:r>
    </w:p>
    <w:p w:rsidR="002114B9" w:rsidRDefault="002114B9" w:rsidP="00BE54ED">
      <w:pPr>
        <w:pStyle w:val="CDCNorm"/>
        <w:tabs>
          <w:tab w:val="left" w:pos="6674"/>
        </w:tabs>
        <w:spacing w:line="259" w:lineRule="auto"/>
        <w:rPr>
          <w:sz w:val="20"/>
          <w:szCs w:val="20"/>
          <w:lang w:val="fr-FR"/>
        </w:rPr>
      </w:pPr>
    </w:p>
    <w:p w:rsidR="00A07D57" w:rsidRPr="0099218F" w:rsidRDefault="00A07D57" w:rsidP="00BE54ED">
      <w:pPr>
        <w:pStyle w:val="CDCNorm"/>
        <w:tabs>
          <w:tab w:val="left" w:pos="6674"/>
        </w:tabs>
        <w:spacing w:line="259" w:lineRule="auto"/>
        <w:rPr>
          <w:szCs w:val="22"/>
        </w:rPr>
      </w:pPr>
    </w:p>
    <w:sectPr w:rsidR="00A07D57" w:rsidRPr="0099218F" w:rsidSect="00A36175">
      <w:pgSz w:w="11906" w:h="16838"/>
      <w:pgMar w:top="1304" w:right="992" w:bottom="1361"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A6" w:rsidRDefault="007937A6" w:rsidP="00BB2C3B">
      <w:pPr>
        <w:spacing w:after="0" w:line="240" w:lineRule="auto"/>
      </w:pPr>
      <w:r>
        <w:separator/>
      </w:r>
    </w:p>
  </w:endnote>
  <w:endnote w:type="continuationSeparator" w:id="0">
    <w:p w:rsidR="007937A6" w:rsidRDefault="007937A6" w:rsidP="00BB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A6" w:rsidRDefault="007937A6" w:rsidP="00BB2C3B">
      <w:pPr>
        <w:spacing w:after="0" w:line="240" w:lineRule="auto"/>
      </w:pPr>
      <w:r>
        <w:separator/>
      </w:r>
    </w:p>
  </w:footnote>
  <w:footnote w:type="continuationSeparator" w:id="0">
    <w:p w:rsidR="007937A6" w:rsidRDefault="007937A6" w:rsidP="00BB2C3B">
      <w:pPr>
        <w:spacing w:after="0" w:line="240" w:lineRule="auto"/>
      </w:pPr>
      <w:r>
        <w:continuationSeparator/>
      </w:r>
    </w:p>
  </w:footnote>
  <w:footnote w:id="1">
    <w:p w:rsidR="001E5AAE" w:rsidRPr="00C05581" w:rsidRDefault="001E5AAE" w:rsidP="008B2E12">
      <w:pPr>
        <w:spacing w:after="0" w:line="240" w:lineRule="auto"/>
        <w:jc w:val="both"/>
        <w:rPr>
          <w:rFonts w:ascii="Arial" w:eastAsia="Times New Roman" w:hAnsi="Arial" w:cs="Arial"/>
          <w:sz w:val="18"/>
          <w:szCs w:val="18"/>
          <w:lang w:eastAsia="fr-LU"/>
        </w:rPr>
      </w:pPr>
      <w:r w:rsidRPr="00C05581">
        <w:rPr>
          <w:rStyle w:val="FootnoteReference"/>
          <w:rFonts w:ascii="Arial" w:hAnsi="Arial" w:cs="Arial"/>
          <w:sz w:val="18"/>
          <w:szCs w:val="18"/>
        </w:rPr>
        <w:footnoteRef/>
      </w:r>
      <w:r w:rsidRPr="00C05581">
        <w:rPr>
          <w:rFonts w:ascii="Arial" w:hAnsi="Arial" w:cs="Arial"/>
          <w:sz w:val="18"/>
          <w:szCs w:val="18"/>
        </w:rPr>
        <w:t xml:space="preserve"> </w:t>
      </w:r>
      <w:r w:rsidRPr="00C05581">
        <w:rPr>
          <w:rFonts w:ascii="Arial" w:eastAsia="Times New Roman" w:hAnsi="Arial" w:cs="Arial"/>
          <w:sz w:val="18"/>
          <w:szCs w:val="18"/>
          <w:lang w:eastAsia="fr-LU"/>
        </w:rPr>
        <w:t xml:space="preserve">Ce rapport est l’un des principaux du genre à l’échelle mondiale et la compétitivité y est définie comme </w:t>
      </w:r>
      <w:r w:rsidRPr="00C05581">
        <w:rPr>
          <w:rFonts w:ascii="Arial" w:eastAsia="Times New Roman" w:hAnsi="Arial" w:cs="Arial"/>
          <w:sz w:val="18"/>
          <w:szCs w:val="18"/>
          <w:lang w:eastAsia="fr-LU"/>
        </w:rPr>
        <w:br/>
        <w:t xml:space="preserve">« </w:t>
      </w:r>
      <w:r w:rsidRPr="00D323D2">
        <w:rPr>
          <w:rFonts w:ascii="Arial" w:eastAsia="Times New Roman" w:hAnsi="Arial" w:cs="Arial"/>
          <w:i/>
          <w:iCs/>
          <w:sz w:val="18"/>
          <w:szCs w:val="18"/>
          <w:lang w:eastAsia="fr-LU"/>
        </w:rPr>
        <w:t>l’ensemble des institutions, politiques et facteurs qui déterminent le niveau de productivité d’un pays</w:t>
      </w:r>
      <w:r w:rsidRPr="00C05581">
        <w:rPr>
          <w:rFonts w:ascii="Arial" w:eastAsia="Times New Roman" w:hAnsi="Arial" w:cs="Arial"/>
          <w:i/>
          <w:iCs/>
          <w:sz w:val="18"/>
          <w:szCs w:val="18"/>
          <w:lang w:eastAsia="fr-LU"/>
        </w:rPr>
        <w:t xml:space="preserve"> » ; </w:t>
      </w:r>
      <w:r w:rsidRPr="00C05581">
        <w:rPr>
          <w:rFonts w:ascii="Arial" w:eastAsia="Times New Roman" w:hAnsi="Arial" w:cs="Arial"/>
          <w:sz w:val="18"/>
          <w:szCs w:val="18"/>
          <w:lang w:eastAsia="fr-LU"/>
        </w:rPr>
        <w:t xml:space="preserve">ce niveau de productivité déterminant, quant à lui, le niveau de vie et de prospérité d’une économie et de ses forces vives (investisseurs et travailleurs, notamment). </w:t>
      </w:r>
    </w:p>
    <w:p w:rsidR="001E5AAE" w:rsidRPr="00F25FB0" w:rsidRDefault="001E5AAE" w:rsidP="008B2E12">
      <w:pPr>
        <w:pStyle w:val="FootnoteText"/>
      </w:pPr>
    </w:p>
  </w:footnote>
  <w:footnote w:id="2">
    <w:p w:rsidR="001E5AAE" w:rsidRPr="00A54661" w:rsidRDefault="001E5AAE" w:rsidP="00A54661">
      <w:pPr>
        <w:pStyle w:val="FootnoteText"/>
        <w:jc w:val="both"/>
        <w:rPr>
          <w:sz w:val="18"/>
          <w:szCs w:val="18"/>
        </w:rPr>
      </w:pPr>
      <w:r w:rsidRPr="00A54661">
        <w:rPr>
          <w:rStyle w:val="FootnoteReference"/>
          <w:sz w:val="18"/>
          <w:szCs w:val="18"/>
        </w:rPr>
        <w:footnoteRef/>
      </w:r>
      <w:r w:rsidRPr="00A54661">
        <w:rPr>
          <w:sz w:val="18"/>
          <w:szCs w:val="18"/>
        </w:rPr>
        <w:t xml:space="preserve"> </w:t>
      </w:r>
      <w:r>
        <w:rPr>
          <w:rFonts w:ascii="Arial" w:hAnsi="Arial" w:cs="Arial"/>
          <w:sz w:val="18"/>
          <w:szCs w:val="18"/>
          <w:lang w:val="fr-FR"/>
        </w:rPr>
        <w:t>E</w:t>
      </w:r>
      <w:r w:rsidRPr="00A54661">
        <w:rPr>
          <w:rFonts w:ascii="Arial" w:hAnsi="Arial" w:cs="Arial"/>
          <w:sz w:val="18"/>
          <w:szCs w:val="18"/>
          <w:lang w:val="fr-FR"/>
        </w:rPr>
        <w:t xml:space="preserve">tant donné que l’économie luxembourgeoise est au stade de développement le plus développé, dit « </w:t>
      </w:r>
      <w:r w:rsidRPr="00A54661">
        <w:rPr>
          <w:rFonts w:ascii="Arial" w:hAnsi="Arial" w:cs="Arial"/>
          <w:i/>
          <w:sz w:val="18"/>
          <w:szCs w:val="18"/>
          <w:lang w:val="fr-FR"/>
        </w:rPr>
        <w:t xml:space="preserve">Innovation </w:t>
      </w:r>
      <w:proofErr w:type="spellStart"/>
      <w:r w:rsidRPr="00A54661">
        <w:rPr>
          <w:rFonts w:ascii="Arial" w:hAnsi="Arial" w:cs="Arial"/>
          <w:i/>
          <w:sz w:val="18"/>
          <w:szCs w:val="18"/>
          <w:lang w:val="fr-FR"/>
        </w:rPr>
        <w:t>driven</w:t>
      </w:r>
      <w:proofErr w:type="spellEnd"/>
      <w:r w:rsidRPr="00A54661">
        <w:rPr>
          <w:rFonts w:ascii="Arial" w:hAnsi="Arial" w:cs="Arial"/>
          <w:sz w:val="18"/>
          <w:szCs w:val="18"/>
          <w:lang w:val="fr-FR"/>
        </w:rPr>
        <w:t xml:space="preserve"> », les résultats de cet indice ne pèsent que pour 20% dans le classement final.  En effet, dans une économie arrivée à un tel stade de maturité, il est supposé que les conditions de base soient de très bonne qualité et adaptées en permanence aux besoins socio-économiques et démographiques. Les gains de compétitivité, pour ces économies, doivent plutôt être le fruit des « facteurs d’efficience » et des « vecteurs d’innovation</w:t>
      </w:r>
      <w:r>
        <w:rPr>
          <w:rFonts w:ascii="Arial" w:hAnsi="Arial" w:cs="Arial"/>
          <w:sz w:val="18"/>
          <w:szCs w:val="18"/>
          <w:lang w:val="fr-FR"/>
        </w:rPr>
        <w:t> ».</w:t>
      </w:r>
    </w:p>
  </w:footnote>
  <w:footnote w:id="3">
    <w:p w:rsidR="001E5AAE" w:rsidRDefault="001E5AAE" w:rsidP="00A54661">
      <w:pPr>
        <w:pStyle w:val="FootnoteText"/>
        <w:jc w:val="both"/>
        <w:rPr>
          <w:lang w:val="lb-LU"/>
        </w:rPr>
      </w:pPr>
      <w:r w:rsidRPr="00A54661">
        <w:rPr>
          <w:rStyle w:val="FootnoteReference"/>
          <w:rFonts w:ascii="Arial" w:hAnsi="Arial" w:cs="Arial"/>
          <w:sz w:val="18"/>
          <w:szCs w:val="18"/>
        </w:rPr>
        <w:footnoteRef/>
      </w:r>
      <w:r w:rsidRPr="00A54661">
        <w:rPr>
          <w:rFonts w:ascii="Arial" w:hAnsi="Arial" w:cs="Arial"/>
          <w:sz w:val="18"/>
          <w:szCs w:val="18"/>
        </w:rPr>
        <w:t xml:space="preserve"> L’indicateur du</w:t>
      </w:r>
      <w:r w:rsidRPr="00A54661">
        <w:rPr>
          <w:rFonts w:ascii="Arial" w:hAnsi="Arial" w:cs="Arial"/>
          <w:i/>
          <w:iCs/>
          <w:sz w:val="18"/>
          <w:szCs w:val="18"/>
        </w:rPr>
        <w:t xml:space="preserve">  taux de scolarisation dans l’enseignement tertiaire</w:t>
      </w:r>
      <w:r w:rsidRPr="00A54661">
        <w:rPr>
          <w:rFonts w:ascii="Arial" w:hAnsi="Arial" w:cs="Arial"/>
          <w:iCs/>
          <w:sz w:val="18"/>
          <w:szCs w:val="18"/>
        </w:rPr>
        <w:t>,</w:t>
      </w:r>
      <w:r w:rsidRPr="00A54661">
        <w:rPr>
          <w:rFonts w:ascii="Arial" w:hAnsi="Arial" w:cs="Arial"/>
          <w:i/>
          <w:iCs/>
          <w:sz w:val="18"/>
          <w:szCs w:val="18"/>
        </w:rPr>
        <w:t xml:space="preserve"> </w:t>
      </w:r>
      <w:r w:rsidRPr="00A54661">
        <w:rPr>
          <w:rFonts w:ascii="Arial" w:hAnsi="Arial" w:cs="Arial"/>
          <w:iCs/>
          <w:sz w:val="18"/>
          <w:szCs w:val="18"/>
        </w:rPr>
        <w:t xml:space="preserve">qui tire le classement de ce pilier vers le bas </w:t>
      </w:r>
      <w:r w:rsidRPr="00A54661">
        <w:rPr>
          <w:rFonts w:ascii="Arial" w:hAnsi="Arial" w:cs="Arial"/>
          <w:sz w:val="18"/>
          <w:szCs w:val="18"/>
        </w:rPr>
        <w:t>(95</w:t>
      </w:r>
      <w:r w:rsidRPr="00A54661">
        <w:rPr>
          <w:rFonts w:ascii="Arial" w:hAnsi="Arial" w:cs="Arial"/>
          <w:sz w:val="18"/>
          <w:szCs w:val="18"/>
          <w:vertAlign w:val="superscript"/>
        </w:rPr>
        <w:t>e</w:t>
      </w:r>
      <w:r w:rsidRPr="00A54661">
        <w:rPr>
          <w:rFonts w:ascii="Arial" w:hAnsi="Arial" w:cs="Arial"/>
          <w:sz w:val="18"/>
          <w:szCs w:val="18"/>
        </w:rPr>
        <w:t xml:space="preserve"> rang mondial), ne prend pas en compte les résidents étudiant à l’étranger, ce qui pénalise le classement du Luxembourg par rapport à ses pairs.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9042763"/>
      <w:docPartObj>
        <w:docPartGallery w:val="Page Numbers (Top of Page)"/>
        <w:docPartUnique/>
      </w:docPartObj>
    </w:sdtPr>
    <w:sdtContent>
      <w:p w:rsidR="001E5AAE" w:rsidRPr="00DD2114" w:rsidRDefault="00B246E5" w:rsidP="00B040C1">
        <w:pPr>
          <w:pStyle w:val="Header"/>
          <w:jc w:val="center"/>
          <w:rPr>
            <w:rFonts w:ascii="Arial" w:hAnsi="Arial" w:cs="Arial"/>
          </w:rPr>
        </w:pPr>
        <w:r w:rsidRPr="00A01000">
          <w:rPr>
            <w:rFonts w:ascii="Arial" w:hAnsi="Arial" w:cs="Arial"/>
          </w:rPr>
          <w:fldChar w:fldCharType="begin"/>
        </w:r>
        <w:r w:rsidR="001E5AAE" w:rsidRPr="00A01000">
          <w:rPr>
            <w:rFonts w:ascii="Arial" w:hAnsi="Arial" w:cs="Arial"/>
          </w:rPr>
          <w:instrText xml:space="preserve"> PAGE   \* MERGEFORMAT </w:instrText>
        </w:r>
        <w:r w:rsidRPr="00A01000">
          <w:rPr>
            <w:rFonts w:ascii="Arial" w:hAnsi="Arial" w:cs="Arial"/>
          </w:rPr>
          <w:fldChar w:fldCharType="separate"/>
        </w:r>
        <w:r w:rsidR="0083368B">
          <w:rPr>
            <w:rFonts w:ascii="Arial" w:hAnsi="Arial" w:cs="Arial"/>
            <w:noProof/>
          </w:rPr>
          <w:t>9</w:t>
        </w:r>
        <w:r w:rsidRPr="00A01000">
          <w:rPr>
            <w:rFonts w:ascii="Arial" w:hAnsi="Arial" w:cs="Arial"/>
          </w:rPr>
          <w:fldChar w:fldCharType="end"/>
        </w:r>
      </w:p>
    </w:sdtContent>
  </w:sdt>
  <w:p w:rsidR="001E5AAE" w:rsidRDefault="001E5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600"/>
    <w:multiLevelType w:val="hybridMultilevel"/>
    <w:tmpl w:val="5AC21AB8"/>
    <w:lvl w:ilvl="0" w:tplc="140C000F">
      <w:numFmt w:val="decimal"/>
      <w:lvlText w:val="%1."/>
      <w:lvlJc w:val="left"/>
      <w:pPr>
        <w:ind w:left="720" w:hanging="360"/>
      </w:pPr>
      <w:rPr>
        <w:rFonts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1768160B"/>
    <w:multiLevelType w:val="hybridMultilevel"/>
    <w:tmpl w:val="85881812"/>
    <w:lvl w:ilvl="0" w:tplc="EA2ADCB4">
      <w:numFmt w:val="bullet"/>
      <w:lvlText w:val=""/>
      <w:lvlJc w:val="left"/>
      <w:pPr>
        <w:ind w:left="720" w:hanging="360"/>
      </w:pPr>
      <w:rPr>
        <w:rFonts w:ascii="Symbol" w:eastAsiaTheme="minorHAns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22F25536"/>
    <w:multiLevelType w:val="hybridMultilevel"/>
    <w:tmpl w:val="FC085E06"/>
    <w:lvl w:ilvl="0" w:tplc="B916049A">
      <w:numFmt w:val="bullet"/>
      <w:lvlText w:val=""/>
      <w:lvlJc w:val="left"/>
      <w:pPr>
        <w:ind w:left="720" w:hanging="360"/>
      </w:pPr>
      <w:rPr>
        <w:rFonts w:ascii="Symbol" w:eastAsiaTheme="minorHAns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26245E0B"/>
    <w:multiLevelType w:val="hybridMultilevel"/>
    <w:tmpl w:val="4C82AEAE"/>
    <w:lvl w:ilvl="0" w:tplc="DD50F95E">
      <w:start w:val="14"/>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nsid w:val="39F829B3"/>
    <w:multiLevelType w:val="hybridMultilevel"/>
    <w:tmpl w:val="7C3C950E"/>
    <w:lvl w:ilvl="0" w:tplc="DD22036A">
      <w:start w:val="147"/>
      <w:numFmt w:val="bullet"/>
      <w:lvlText w:val=""/>
      <w:lvlJc w:val="left"/>
      <w:pPr>
        <w:ind w:left="720" w:hanging="360"/>
      </w:pPr>
      <w:rPr>
        <w:rFonts w:ascii="Symbol" w:eastAsiaTheme="minorHAns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nsid w:val="454B0DD2"/>
    <w:multiLevelType w:val="hybridMultilevel"/>
    <w:tmpl w:val="047A0902"/>
    <w:lvl w:ilvl="0" w:tplc="190AD9E0">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45924777"/>
    <w:multiLevelType w:val="hybridMultilevel"/>
    <w:tmpl w:val="21004AD4"/>
    <w:lvl w:ilvl="0" w:tplc="F6F6ECB2">
      <w:numFmt w:val="bullet"/>
      <w:lvlText w:val=""/>
      <w:lvlJc w:val="left"/>
      <w:pPr>
        <w:ind w:left="720" w:hanging="360"/>
      </w:pPr>
      <w:rPr>
        <w:rFonts w:ascii="Wingdings" w:eastAsiaTheme="minorHAnsi" w:hAnsi="Wingdings"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7">
    <w:nsid w:val="4D9E65D1"/>
    <w:multiLevelType w:val="hybridMultilevel"/>
    <w:tmpl w:val="B8F064DE"/>
    <w:lvl w:ilvl="0" w:tplc="DA602946">
      <w:start w:val="14"/>
      <w:numFmt w:val="bullet"/>
      <w:lvlText w:val=""/>
      <w:lvlJc w:val="left"/>
      <w:pPr>
        <w:ind w:left="720" w:hanging="360"/>
      </w:pPr>
      <w:rPr>
        <w:rFonts w:ascii="Wingdings" w:eastAsiaTheme="minorHAnsi" w:hAnsi="Wingdings"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4E8D2E3F"/>
    <w:multiLevelType w:val="hybridMultilevel"/>
    <w:tmpl w:val="A33A8BE0"/>
    <w:lvl w:ilvl="0" w:tplc="046E0001">
      <w:start w:val="1"/>
      <w:numFmt w:val="bullet"/>
      <w:lvlText w:val=""/>
      <w:lvlJc w:val="left"/>
      <w:pPr>
        <w:ind w:left="720" w:hanging="360"/>
      </w:pPr>
      <w:rPr>
        <w:rFonts w:ascii="Symbol" w:hAnsi="Symbol" w:hint="default"/>
      </w:rPr>
    </w:lvl>
    <w:lvl w:ilvl="1" w:tplc="046E0003">
      <w:start w:val="1"/>
      <w:numFmt w:val="decimal"/>
      <w:lvlText w:val="%2."/>
      <w:lvlJc w:val="left"/>
      <w:pPr>
        <w:tabs>
          <w:tab w:val="num" w:pos="1440"/>
        </w:tabs>
        <w:ind w:left="1440" w:hanging="360"/>
      </w:pPr>
    </w:lvl>
    <w:lvl w:ilvl="2" w:tplc="046E0005">
      <w:start w:val="1"/>
      <w:numFmt w:val="decimal"/>
      <w:lvlText w:val="%3."/>
      <w:lvlJc w:val="left"/>
      <w:pPr>
        <w:tabs>
          <w:tab w:val="num" w:pos="2160"/>
        </w:tabs>
        <w:ind w:left="2160" w:hanging="360"/>
      </w:pPr>
    </w:lvl>
    <w:lvl w:ilvl="3" w:tplc="046E0001">
      <w:start w:val="1"/>
      <w:numFmt w:val="decimal"/>
      <w:lvlText w:val="%4."/>
      <w:lvlJc w:val="left"/>
      <w:pPr>
        <w:tabs>
          <w:tab w:val="num" w:pos="2880"/>
        </w:tabs>
        <w:ind w:left="2880" w:hanging="360"/>
      </w:pPr>
    </w:lvl>
    <w:lvl w:ilvl="4" w:tplc="046E0003">
      <w:start w:val="1"/>
      <w:numFmt w:val="decimal"/>
      <w:lvlText w:val="%5."/>
      <w:lvlJc w:val="left"/>
      <w:pPr>
        <w:tabs>
          <w:tab w:val="num" w:pos="3600"/>
        </w:tabs>
        <w:ind w:left="3600" w:hanging="360"/>
      </w:pPr>
    </w:lvl>
    <w:lvl w:ilvl="5" w:tplc="046E0005">
      <w:start w:val="1"/>
      <w:numFmt w:val="decimal"/>
      <w:lvlText w:val="%6."/>
      <w:lvlJc w:val="left"/>
      <w:pPr>
        <w:tabs>
          <w:tab w:val="num" w:pos="4320"/>
        </w:tabs>
        <w:ind w:left="4320" w:hanging="360"/>
      </w:pPr>
    </w:lvl>
    <w:lvl w:ilvl="6" w:tplc="046E0001">
      <w:start w:val="1"/>
      <w:numFmt w:val="decimal"/>
      <w:lvlText w:val="%7."/>
      <w:lvlJc w:val="left"/>
      <w:pPr>
        <w:tabs>
          <w:tab w:val="num" w:pos="5040"/>
        </w:tabs>
        <w:ind w:left="5040" w:hanging="360"/>
      </w:pPr>
    </w:lvl>
    <w:lvl w:ilvl="7" w:tplc="046E0003">
      <w:start w:val="1"/>
      <w:numFmt w:val="decimal"/>
      <w:lvlText w:val="%8."/>
      <w:lvlJc w:val="left"/>
      <w:pPr>
        <w:tabs>
          <w:tab w:val="num" w:pos="5760"/>
        </w:tabs>
        <w:ind w:left="5760" w:hanging="360"/>
      </w:pPr>
    </w:lvl>
    <w:lvl w:ilvl="8" w:tplc="046E0005">
      <w:start w:val="1"/>
      <w:numFmt w:val="decimal"/>
      <w:lvlText w:val="%9."/>
      <w:lvlJc w:val="left"/>
      <w:pPr>
        <w:tabs>
          <w:tab w:val="num" w:pos="6480"/>
        </w:tabs>
        <w:ind w:left="6480" w:hanging="360"/>
      </w:pPr>
    </w:lvl>
  </w:abstractNum>
  <w:abstractNum w:abstractNumId="9">
    <w:nsid w:val="5FFF7C49"/>
    <w:multiLevelType w:val="hybridMultilevel"/>
    <w:tmpl w:val="00BC9828"/>
    <w:lvl w:ilvl="0" w:tplc="939A1B2E">
      <w:start w:val="6"/>
      <w:numFmt w:val="bullet"/>
      <w:lvlText w:val=""/>
      <w:lvlJc w:val="left"/>
      <w:pPr>
        <w:ind w:left="720" w:hanging="360"/>
      </w:pPr>
      <w:rPr>
        <w:rFonts w:ascii="Symbol" w:eastAsiaTheme="minorHAnsi"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3"/>
  </w:num>
  <w:num w:numId="8">
    <w:abstractNumId w:val="9"/>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49F"/>
    <w:rsid w:val="0000250B"/>
    <w:rsid w:val="00004032"/>
    <w:rsid w:val="0001235D"/>
    <w:rsid w:val="00013D62"/>
    <w:rsid w:val="0001596C"/>
    <w:rsid w:val="00015B0D"/>
    <w:rsid w:val="0001606A"/>
    <w:rsid w:val="0001702E"/>
    <w:rsid w:val="000175A3"/>
    <w:rsid w:val="00031067"/>
    <w:rsid w:val="00031BDF"/>
    <w:rsid w:val="00031C03"/>
    <w:rsid w:val="00032827"/>
    <w:rsid w:val="000350D3"/>
    <w:rsid w:val="00037EC2"/>
    <w:rsid w:val="00040CD9"/>
    <w:rsid w:val="00041995"/>
    <w:rsid w:val="00044538"/>
    <w:rsid w:val="00044619"/>
    <w:rsid w:val="00044805"/>
    <w:rsid w:val="00044B3B"/>
    <w:rsid w:val="00046A30"/>
    <w:rsid w:val="000479C7"/>
    <w:rsid w:val="00051C52"/>
    <w:rsid w:val="00051C62"/>
    <w:rsid w:val="00054EEF"/>
    <w:rsid w:val="00056BF1"/>
    <w:rsid w:val="00060577"/>
    <w:rsid w:val="00060751"/>
    <w:rsid w:val="00061630"/>
    <w:rsid w:val="000618B0"/>
    <w:rsid w:val="000620D8"/>
    <w:rsid w:val="00067397"/>
    <w:rsid w:val="00070274"/>
    <w:rsid w:val="00070E1F"/>
    <w:rsid w:val="00071D5F"/>
    <w:rsid w:val="0007221C"/>
    <w:rsid w:val="0007225B"/>
    <w:rsid w:val="0007355D"/>
    <w:rsid w:val="000737A5"/>
    <w:rsid w:val="000744D1"/>
    <w:rsid w:val="00074C2D"/>
    <w:rsid w:val="00075796"/>
    <w:rsid w:val="00075CC2"/>
    <w:rsid w:val="00077ACC"/>
    <w:rsid w:val="0008192D"/>
    <w:rsid w:val="00085E49"/>
    <w:rsid w:val="0009089F"/>
    <w:rsid w:val="00091A1B"/>
    <w:rsid w:val="00091C8D"/>
    <w:rsid w:val="00091F44"/>
    <w:rsid w:val="00093D2F"/>
    <w:rsid w:val="000943C9"/>
    <w:rsid w:val="000A11D9"/>
    <w:rsid w:val="000A15DF"/>
    <w:rsid w:val="000A2013"/>
    <w:rsid w:val="000A2784"/>
    <w:rsid w:val="000A3601"/>
    <w:rsid w:val="000A5647"/>
    <w:rsid w:val="000A5683"/>
    <w:rsid w:val="000A5FFD"/>
    <w:rsid w:val="000A648A"/>
    <w:rsid w:val="000B18B7"/>
    <w:rsid w:val="000B307B"/>
    <w:rsid w:val="000B423E"/>
    <w:rsid w:val="000B4B65"/>
    <w:rsid w:val="000C1998"/>
    <w:rsid w:val="000C1D25"/>
    <w:rsid w:val="000C418B"/>
    <w:rsid w:val="000C4D4E"/>
    <w:rsid w:val="000C6B77"/>
    <w:rsid w:val="000D3681"/>
    <w:rsid w:val="000D51BB"/>
    <w:rsid w:val="000D5906"/>
    <w:rsid w:val="000D70A2"/>
    <w:rsid w:val="000D7252"/>
    <w:rsid w:val="000D7DB7"/>
    <w:rsid w:val="000E02BE"/>
    <w:rsid w:val="000E1821"/>
    <w:rsid w:val="000E2108"/>
    <w:rsid w:val="000E2244"/>
    <w:rsid w:val="000E587F"/>
    <w:rsid w:val="000E59C2"/>
    <w:rsid w:val="000E7A06"/>
    <w:rsid w:val="000E7AF1"/>
    <w:rsid w:val="000F0264"/>
    <w:rsid w:val="000F0B99"/>
    <w:rsid w:val="000F1AB5"/>
    <w:rsid w:val="000F1FCA"/>
    <w:rsid w:val="000F2ED2"/>
    <w:rsid w:val="000F42FD"/>
    <w:rsid w:val="000F5442"/>
    <w:rsid w:val="000F5663"/>
    <w:rsid w:val="000F6368"/>
    <w:rsid w:val="001000BE"/>
    <w:rsid w:val="0010101D"/>
    <w:rsid w:val="00101E21"/>
    <w:rsid w:val="00105BFC"/>
    <w:rsid w:val="00107080"/>
    <w:rsid w:val="001127E0"/>
    <w:rsid w:val="00112A81"/>
    <w:rsid w:val="001145C1"/>
    <w:rsid w:val="001161DC"/>
    <w:rsid w:val="00116517"/>
    <w:rsid w:val="00121A7C"/>
    <w:rsid w:val="00123E75"/>
    <w:rsid w:val="00127FC3"/>
    <w:rsid w:val="0013269E"/>
    <w:rsid w:val="00132A96"/>
    <w:rsid w:val="00133E1C"/>
    <w:rsid w:val="00135094"/>
    <w:rsid w:val="00135B9C"/>
    <w:rsid w:val="0013609F"/>
    <w:rsid w:val="0013760E"/>
    <w:rsid w:val="00143025"/>
    <w:rsid w:val="00144397"/>
    <w:rsid w:val="0014469C"/>
    <w:rsid w:val="001507B3"/>
    <w:rsid w:val="0015164A"/>
    <w:rsid w:val="00151F7B"/>
    <w:rsid w:val="00152654"/>
    <w:rsid w:val="001533A6"/>
    <w:rsid w:val="00153C4E"/>
    <w:rsid w:val="00157D2F"/>
    <w:rsid w:val="00157EE7"/>
    <w:rsid w:val="00163222"/>
    <w:rsid w:val="0016560E"/>
    <w:rsid w:val="001668AD"/>
    <w:rsid w:val="0016693F"/>
    <w:rsid w:val="00170255"/>
    <w:rsid w:val="0017137D"/>
    <w:rsid w:val="00171DA4"/>
    <w:rsid w:val="00172C5E"/>
    <w:rsid w:val="00173735"/>
    <w:rsid w:val="001742BE"/>
    <w:rsid w:val="00174EDF"/>
    <w:rsid w:val="001761E9"/>
    <w:rsid w:val="00183CF3"/>
    <w:rsid w:val="001842A0"/>
    <w:rsid w:val="0018721A"/>
    <w:rsid w:val="00187619"/>
    <w:rsid w:val="00190CC0"/>
    <w:rsid w:val="00193850"/>
    <w:rsid w:val="0019546F"/>
    <w:rsid w:val="00196ACC"/>
    <w:rsid w:val="001A1CAC"/>
    <w:rsid w:val="001A40C6"/>
    <w:rsid w:val="001A6E75"/>
    <w:rsid w:val="001A7214"/>
    <w:rsid w:val="001A78F5"/>
    <w:rsid w:val="001B004D"/>
    <w:rsid w:val="001B209D"/>
    <w:rsid w:val="001B2D54"/>
    <w:rsid w:val="001B5398"/>
    <w:rsid w:val="001B5A47"/>
    <w:rsid w:val="001B671F"/>
    <w:rsid w:val="001B6A98"/>
    <w:rsid w:val="001B7086"/>
    <w:rsid w:val="001B7CAF"/>
    <w:rsid w:val="001C24FC"/>
    <w:rsid w:val="001C6F95"/>
    <w:rsid w:val="001D0434"/>
    <w:rsid w:val="001D0C1C"/>
    <w:rsid w:val="001D2DBC"/>
    <w:rsid w:val="001D39ED"/>
    <w:rsid w:val="001D6081"/>
    <w:rsid w:val="001E04B2"/>
    <w:rsid w:val="001E149F"/>
    <w:rsid w:val="001E1F94"/>
    <w:rsid w:val="001E51D0"/>
    <w:rsid w:val="001E5AAE"/>
    <w:rsid w:val="001E63AB"/>
    <w:rsid w:val="001E6F0B"/>
    <w:rsid w:val="001E7101"/>
    <w:rsid w:val="001E72A3"/>
    <w:rsid w:val="001E72EB"/>
    <w:rsid w:val="001F00CC"/>
    <w:rsid w:val="001F2817"/>
    <w:rsid w:val="001F3ADC"/>
    <w:rsid w:val="001F4496"/>
    <w:rsid w:val="001F5768"/>
    <w:rsid w:val="001F5892"/>
    <w:rsid w:val="001F74AF"/>
    <w:rsid w:val="001F7655"/>
    <w:rsid w:val="00200C0B"/>
    <w:rsid w:val="00202A3E"/>
    <w:rsid w:val="00203283"/>
    <w:rsid w:val="002049DE"/>
    <w:rsid w:val="00204C64"/>
    <w:rsid w:val="002114B9"/>
    <w:rsid w:val="002117E1"/>
    <w:rsid w:val="00213882"/>
    <w:rsid w:val="0021778F"/>
    <w:rsid w:val="002204BC"/>
    <w:rsid w:val="00222518"/>
    <w:rsid w:val="00224E45"/>
    <w:rsid w:val="00226674"/>
    <w:rsid w:val="00226EBA"/>
    <w:rsid w:val="002348FD"/>
    <w:rsid w:val="00235E17"/>
    <w:rsid w:val="00235F28"/>
    <w:rsid w:val="002405AA"/>
    <w:rsid w:val="00241115"/>
    <w:rsid w:val="0024401C"/>
    <w:rsid w:val="002506B8"/>
    <w:rsid w:val="00256DED"/>
    <w:rsid w:val="002571EE"/>
    <w:rsid w:val="002619F7"/>
    <w:rsid w:val="00261D25"/>
    <w:rsid w:val="00265728"/>
    <w:rsid w:val="002663B4"/>
    <w:rsid w:val="00266A1A"/>
    <w:rsid w:val="00270B23"/>
    <w:rsid w:val="0027150D"/>
    <w:rsid w:val="00271EF3"/>
    <w:rsid w:val="00274389"/>
    <w:rsid w:val="00276791"/>
    <w:rsid w:val="00276F8E"/>
    <w:rsid w:val="0028086A"/>
    <w:rsid w:val="00283885"/>
    <w:rsid w:val="002842FA"/>
    <w:rsid w:val="0028487A"/>
    <w:rsid w:val="00286001"/>
    <w:rsid w:val="00286639"/>
    <w:rsid w:val="002872C6"/>
    <w:rsid w:val="0029088B"/>
    <w:rsid w:val="002920BC"/>
    <w:rsid w:val="0029277E"/>
    <w:rsid w:val="0029498E"/>
    <w:rsid w:val="0029730B"/>
    <w:rsid w:val="002A258E"/>
    <w:rsid w:val="002A3E61"/>
    <w:rsid w:val="002A528F"/>
    <w:rsid w:val="002A6132"/>
    <w:rsid w:val="002A79FA"/>
    <w:rsid w:val="002B190F"/>
    <w:rsid w:val="002B2F18"/>
    <w:rsid w:val="002C008E"/>
    <w:rsid w:val="002C040B"/>
    <w:rsid w:val="002C332C"/>
    <w:rsid w:val="002C517E"/>
    <w:rsid w:val="002C64E8"/>
    <w:rsid w:val="002C75BA"/>
    <w:rsid w:val="002C7DD6"/>
    <w:rsid w:val="002D165D"/>
    <w:rsid w:val="002D1AC8"/>
    <w:rsid w:val="002D3DD2"/>
    <w:rsid w:val="002D5325"/>
    <w:rsid w:val="002D5601"/>
    <w:rsid w:val="002D6D02"/>
    <w:rsid w:val="002D73E6"/>
    <w:rsid w:val="002E04A3"/>
    <w:rsid w:val="002E165A"/>
    <w:rsid w:val="002E1C3F"/>
    <w:rsid w:val="002E5187"/>
    <w:rsid w:val="002E7DDA"/>
    <w:rsid w:val="002F510D"/>
    <w:rsid w:val="002F75F3"/>
    <w:rsid w:val="002F7665"/>
    <w:rsid w:val="00301ABE"/>
    <w:rsid w:val="00301C21"/>
    <w:rsid w:val="00301F61"/>
    <w:rsid w:val="00302552"/>
    <w:rsid w:val="0030403C"/>
    <w:rsid w:val="00310461"/>
    <w:rsid w:val="0031107D"/>
    <w:rsid w:val="00311831"/>
    <w:rsid w:val="0031229A"/>
    <w:rsid w:val="00315D76"/>
    <w:rsid w:val="00316F99"/>
    <w:rsid w:val="00317333"/>
    <w:rsid w:val="00317F69"/>
    <w:rsid w:val="0032233A"/>
    <w:rsid w:val="003240AD"/>
    <w:rsid w:val="00326539"/>
    <w:rsid w:val="00326873"/>
    <w:rsid w:val="00330D6A"/>
    <w:rsid w:val="003319DB"/>
    <w:rsid w:val="00332031"/>
    <w:rsid w:val="0033288A"/>
    <w:rsid w:val="00332979"/>
    <w:rsid w:val="003348A3"/>
    <w:rsid w:val="00342E5C"/>
    <w:rsid w:val="003445D4"/>
    <w:rsid w:val="003502FA"/>
    <w:rsid w:val="00350E67"/>
    <w:rsid w:val="0035190A"/>
    <w:rsid w:val="0035252E"/>
    <w:rsid w:val="0035457B"/>
    <w:rsid w:val="003551FB"/>
    <w:rsid w:val="003558F4"/>
    <w:rsid w:val="00357F86"/>
    <w:rsid w:val="0036384D"/>
    <w:rsid w:val="00363B6E"/>
    <w:rsid w:val="00363E9C"/>
    <w:rsid w:val="00364261"/>
    <w:rsid w:val="00364F73"/>
    <w:rsid w:val="003651AC"/>
    <w:rsid w:val="00366972"/>
    <w:rsid w:val="0036710D"/>
    <w:rsid w:val="00372A35"/>
    <w:rsid w:val="0037714E"/>
    <w:rsid w:val="00381618"/>
    <w:rsid w:val="003823A2"/>
    <w:rsid w:val="0038298F"/>
    <w:rsid w:val="0038299E"/>
    <w:rsid w:val="00383147"/>
    <w:rsid w:val="00383F84"/>
    <w:rsid w:val="00384E4B"/>
    <w:rsid w:val="00386B41"/>
    <w:rsid w:val="00390259"/>
    <w:rsid w:val="00390AE3"/>
    <w:rsid w:val="003912A3"/>
    <w:rsid w:val="00392C08"/>
    <w:rsid w:val="00392C4E"/>
    <w:rsid w:val="003934C0"/>
    <w:rsid w:val="00394D6B"/>
    <w:rsid w:val="00394EAF"/>
    <w:rsid w:val="00395BF9"/>
    <w:rsid w:val="003979A3"/>
    <w:rsid w:val="00397E58"/>
    <w:rsid w:val="003A03A7"/>
    <w:rsid w:val="003A0539"/>
    <w:rsid w:val="003A12CE"/>
    <w:rsid w:val="003A1428"/>
    <w:rsid w:val="003A17B0"/>
    <w:rsid w:val="003A239A"/>
    <w:rsid w:val="003A23DF"/>
    <w:rsid w:val="003A3498"/>
    <w:rsid w:val="003A3854"/>
    <w:rsid w:val="003A5980"/>
    <w:rsid w:val="003A6388"/>
    <w:rsid w:val="003B0A65"/>
    <w:rsid w:val="003B1208"/>
    <w:rsid w:val="003B18CF"/>
    <w:rsid w:val="003B22A3"/>
    <w:rsid w:val="003B2BAA"/>
    <w:rsid w:val="003B4BCF"/>
    <w:rsid w:val="003B5F8E"/>
    <w:rsid w:val="003B72DE"/>
    <w:rsid w:val="003C2E92"/>
    <w:rsid w:val="003C6034"/>
    <w:rsid w:val="003C7E7B"/>
    <w:rsid w:val="003D1F41"/>
    <w:rsid w:val="003D25F5"/>
    <w:rsid w:val="003D3D0D"/>
    <w:rsid w:val="003D547C"/>
    <w:rsid w:val="003D54D3"/>
    <w:rsid w:val="003E13A6"/>
    <w:rsid w:val="003E3F29"/>
    <w:rsid w:val="003E4C20"/>
    <w:rsid w:val="003E599F"/>
    <w:rsid w:val="003E746A"/>
    <w:rsid w:val="003F0FB4"/>
    <w:rsid w:val="003F2212"/>
    <w:rsid w:val="003F2EA6"/>
    <w:rsid w:val="003F6B48"/>
    <w:rsid w:val="003F76EF"/>
    <w:rsid w:val="003F7DC1"/>
    <w:rsid w:val="0040125C"/>
    <w:rsid w:val="004032F4"/>
    <w:rsid w:val="0040357D"/>
    <w:rsid w:val="0040575C"/>
    <w:rsid w:val="00406310"/>
    <w:rsid w:val="00406622"/>
    <w:rsid w:val="0041031D"/>
    <w:rsid w:val="00411CEC"/>
    <w:rsid w:val="00413E68"/>
    <w:rsid w:val="0041641C"/>
    <w:rsid w:val="00420DC3"/>
    <w:rsid w:val="004217E2"/>
    <w:rsid w:val="00421849"/>
    <w:rsid w:val="00423426"/>
    <w:rsid w:val="00424A9D"/>
    <w:rsid w:val="004308A7"/>
    <w:rsid w:val="00432DE4"/>
    <w:rsid w:val="00433D6C"/>
    <w:rsid w:val="0043413E"/>
    <w:rsid w:val="00434CB6"/>
    <w:rsid w:val="00437FD0"/>
    <w:rsid w:val="004427E6"/>
    <w:rsid w:val="00442936"/>
    <w:rsid w:val="0044309D"/>
    <w:rsid w:val="004453D8"/>
    <w:rsid w:val="00451A75"/>
    <w:rsid w:val="004545F0"/>
    <w:rsid w:val="00454663"/>
    <w:rsid w:val="00457A66"/>
    <w:rsid w:val="004666B2"/>
    <w:rsid w:val="00467F96"/>
    <w:rsid w:val="00475C9A"/>
    <w:rsid w:val="0047655D"/>
    <w:rsid w:val="004769C7"/>
    <w:rsid w:val="00480061"/>
    <w:rsid w:val="00480B81"/>
    <w:rsid w:val="004810CE"/>
    <w:rsid w:val="00481E5B"/>
    <w:rsid w:val="00482E0E"/>
    <w:rsid w:val="00483A0C"/>
    <w:rsid w:val="00485170"/>
    <w:rsid w:val="00490F38"/>
    <w:rsid w:val="0049170B"/>
    <w:rsid w:val="004939BB"/>
    <w:rsid w:val="00493EDB"/>
    <w:rsid w:val="00494FEA"/>
    <w:rsid w:val="004A0785"/>
    <w:rsid w:val="004A0DD4"/>
    <w:rsid w:val="004A145E"/>
    <w:rsid w:val="004A2A66"/>
    <w:rsid w:val="004B3FE7"/>
    <w:rsid w:val="004B4A55"/>
    <w:rsid w:val="004B4D5C"/>
    <w:rsid w:val="004B6408"/>
    <w:rsid w:val="004C0B97"/>
    <w:rsid w:val="004C216F"/>
    <w:rsid w:val="004C39EE"/>
    <w:rsid w:val="004C3B09"/>
    <w:rsid w:val="004C454C"/>
    <w:rsid w:val="004C50AF"/>
    <w:rsid w:val="004D151C"/>
    <w:rsid w:val="004D1874"/>
    <w:rsid w:val="004D28C3"/>
    <w:rsid w:val="004D295A"/>
    <w:rsid w:val="004D3BEB"/>
    <w:rsid w:val="004D3C3C"/>
    <w:rsid w:val="004D70F9"/>
    <w:rsid w:val="004D7D2D"/>
    <w:rsid w:val="004E2983"/>
    <w:rsid w:val="004E3B1C"/>
    <w:rsid w:val="004E3E01"/>
    <w:rsid w:val="004E4918"/>
    <w:rsid w:val="004F061A"/>
    <w:rsid w:val="004F0C4E"/>
    <w:rsid w:val="004F27ED"/>
    <w:rsid w:val="004F3311"/>
    <w:rsid w:val="005009A8"/>
    <w:rsid w:val="00501225"/>
    <w:rsid w:val="00507EC6"/>
    <w:rsid w:val="005101C3"/>
    <w:rsid w:val="005124A9"/>
    <w:rsid w:val="00512745"/>
    <w:rsid w:val="00513ACD"/>
    <w:rsid w:val="0051501F"/>
    <w:rsid w:val="005160E3"/>
    <w:rsid w:val="00523156"/>
    <w:rsid w:val="005243A7"/>
    <w:rsid w:val="00524F04"/>
    <w:rsid w:val="0052620E"/>
    <w:rsid w:val="005279BC"/>
    <w:rsid w:val="00534A29"/>
    <w:rsid w:val="005352D3"/>
    <w:rsid w:val="0053690B"/>
    <w:rsid w:val="00536FF4"/>
    <w:rsid w:val="00537080"/>
    <w:rsid w:val="00541596"/>
    <w:rsid w:val="00541B55"/>
    <w:rsid w:val="00545385"/>
    <w:rsid w:val="0054572B"/>
    <w:rsid w:val="00545D0A"/>
    <w:rsid w:val="005463BC"/>
    <w:rsid w:val="00547D06"/>
    <w:rsid w:val="005507AE"/>
    <w:rsid w:val="00552798"/>
    <w:rsid w:val="005540A7"/>
    <w:rsid w:val="00555D10"/>
    <w:rsid w:val="0056121B"/>
    <w:rsid w:val="00563019"/>
    <w:rsid w:val="00563B7D"/>
    <w:rsid w:val="00566CE9"/>
    <w:rsid w:val="00567164"/>
    <w:rsid w:val="00567CA7"/>
    <w:rsid w:val="005701B7"/>
    <w:rsid w:val="005714EF"/>
    <w:rsid w:val="00571F48"/>
    <w:rsid w:val="00573916"/>
    <w:rsid w:val="00573C59"/>
    <w:rsid w:val="00575214"/>
    <w:rsid w:val="00575B55"/>
    <w:rsid w:val="00575E61"/>
    <w:rsid w:val="005776CD"/>
    <w:rsid w:val="0058022D"/>
    <w:rsid w:val="00582BE5"/>
    <w:rsid w:val="00585FFF"/>
    <w:rsid w:val="00587795"/>
    <w:rsid w:val="00590B88"/>
    <w:rsid w:val="00593C9F"/>
    <w:rsid w:val="00594852"/>
    <w:rsid w:val="00595832"/>
    <w:rsid w:val="00595F65"/>
    <w:rsid w:val="005969DE"/>
    <w:rsid w:val="00596E7C"/>
    <w:rsid w:val="005A40E1"/>
    <w:rsid w:val="005A674D"/>
    <w:rsid w:val="005A6B76"/>
    <w:rsid w:val="005B256C"/>
    <w:rsid w:val="005B44D7"/>
    <w:rsid w:val="005B4ED2"/>
    <w:rsid w:val="005B662F"/>
    <w:rsid w:val="005B7EE9"/>
    <w:rsid w:val="005C0B89"/>
    <w:rsid w:val="005C0DB2"/>
    <w:rsid w:val="005C36FF"/>
    <w:rsid w:val="005C473C"/>
    <w:rsid w:val="005C7473"/>
    <w:rsid w:val="005D0AE5"/>
    <w:rsid w:val="005D2EBB"/>
    <w:rsid w:val="005D648F"/>
    <w:rsid w:val="005D763F"/>
    <w:rsid w:val="005D7E3A"/>
    <w:rsid w:val="005E0AC2"/>
    <w:rsid w:val="005E1000"/>
    <w:rsid w:val="005E3582"/>
    <w:rsid w:val="005E6865"/>
    <w:rsid w:val="005E6FD3"/>
    <w:rsid w:val="005E72DA"/>
    <w:rsid w:val="005F0252"/>
    <w:rsid w:val="005F44E3"/>
    <w:rsid w:val="005F5ECA"/>
    <w:rsid w:val="005F6FDD"/>
    <w:rsid w:val="005F77AF"/>
    <w:rsid w:val="005F7998"/>
    <w:rsid w:val="00602BEB"/>
    <w:rsid w:val="00603B9F"/>
    <w:rsid w:val="00605583"/>
    <w:rsid w:val="00612E61"/>
    <w:rsid w:val="0061360A"/>
    <w:rsid w:val="00620D2B"/>
    <w:rsid w:val="00620F66"/>
    <w:rsid w:val="00622137"/>
    <w:rsid w:val="006237B0"/>
    <w:rsid w:val="006242F4"/>
    <w:rsid w:val="006262D3"/>
    <w:rsid w:val="0062698F"/>
    <w:rsid w:val="00630889"/>
    <w:rsid w:val="00632998"/>
    <w:rsid w:val="006340EF"/>
    <w:rsid w:val="006346A4"/>
    <w:rsid w:val="006356C7"/>
    <w:rsid w:val="00635D9A"/>
    <w:rsid w:val="006362D4"/>
    <w:rsid w:val="00645528"/>
    <w:rsid w:val="00646868"/>
    <w:rsid w:val="00646CCE"/>
    <w:rsid w:val="00647CC1"/>
    <w:rsid w:val="00650B7F"/>
    <w:rsid w:val="006545FF"/>
    <w:rsid w:val="006563CB"/>
    <w:rsid w:val="00657A1E"/>
    <w:rsid w:val="0066139F"/>
    <w:rsid w:val="006615E3"/>
    <w:rsid w:val="0066264B"/>
    <w:rsid w:val="00665FCF"/>
    <w:rsid w:val="00671BA7"/>
    <w:rsid w:val="00671C4F"/>
    <w:rsid w:val="00673B76"/>
    <w:rsid w:val="00673DC3"/>
    <w:rsid w:val="00675F92"/>
    <w:rsid w:val="006779E7"/>
    <w:rsid w:val="00677F8C"/>
    <w:rsid w:val="00682297"/>
    <w:rsid w:val="006835B2"/>
    <w:rsid w:val="0068504E"/>
    <w:rsid w:val="00685E82"/>
    <w:rsid w:val="0069064D"/>
    <w:rsid w:val="006909C0"/>
    <w:rsid w:val="00691B67"/>
    <w:rsid w:val="00691FEB"/>
    <w:rsid w:val="00692955"/>
    <w:rsid w:val="00692BD9"/>
    <w:rsid w:val="00695683"/>
    <w:rsid w:val="00697B8E"/>
    <w:rsid w:val="006A03FA"/>
    <w:rsid w:val="006A093D"/>
    <w:rsid w:val="006A2059"/>
    <w:rsid w:val="006A2332"/>
    <w:rsid w:val="006A72C1"/>
    <w:rsid w:val="006A7BD3"/>
    <w:rsid w:val="006B2781"/>
    <w:rsid w:val="006B31C7"/>
    <w:rsid w:val="006B4A76"/>
    <w:rsid w:val="006B51B9"/>
    <w:rsid w:val="006B7A29"/>
    <w:rsid w:val="006B7BF5"/>
    <w:rsid w:val="006C011D"/>
    <w:rsid w:val="006C05D3"/>
    <w:rsid w:val="006C22EF"/>
    <w:rsid w:val="006C37E7"/>
    <w:rsid w:val="006C441D"/>
    <w:rsid w:val="006C5DF9"/>
    <w:rsid w:val="006C7873"/>
    <w:rsid w:val="006D19F0"/>
    <w:rsid w:val="006D51A1"/>
    <w:rsid w:val="006E0F4F"/>
    <w:rsid w:val="006E2CDE"/>
    <w:rsid w:val="006E3DDA"/>
    <w:rsid w:val="006F044B"/>
    <w:rsid w:val="006F1031"/>
    <w:rsid w:val="006F1D2D"/>
    <w:rsid w:val="006F2790"/>
    <w:rsid w:val="006F49D0"/>
    <w:rsid w:val="006F6349"/>
    <w:rsid w:val="006F6D4D"/>
    <w:rsid w:val="006F720F"/>
    <w:rsid w:val="00700BCB"/>
    <w:rsid w:val="00706E29"/>
    <w:rsid w:val="00707368"/>
    <w:rsid w:val="00707DBF"/>
    <w:rsid w:val="00707ECB"/>
    <w:rsid w:val="00711726"/>
    <w:rsid w:val="00714E51"/>
    <w:rsid w:val="0071558B"/>
    <w:rsid w:val="0071605C"/>
    <w:rsid w:val="0071743F"/>
    <w:rsid w:val="007226D9"/>
    <w:rsid w:val="007238AB"/>
    <w:rsid w:val="00724CBC"/>
    <w:rsid w:val="007273BA"/>
    <w:rsid w:val="00727E5D"/>
    <w:rsid w:val="00731454"/>
    <w:rsid w:val="00731FED"/>
    <w:rsid w:val="007346AB"/>
    <w:rsid w:val="00734BB0"/>
    <w:rsid w:val="00735D8F"/>
    <w:rsid w:val="007376E7"/>
    <w:rsid w:val="007402DC"/>
    <w:rsid w:val="00741AA7"/>
    <w:rsid w:val="00741ABF"/>
    <w:rsid w:val="00743414"/>
    <w:rsid w:val="0074795F"/>
    <w:rsid w:val="007514D7"/>
    <w:rsid w:val="0075278C"/>
    <w:rsid w:val="00752C9F"/>
    <w:rsid w:val="00754385"/>
    <w:rsid w:val="00755311"/>
    <w:rsid w:val="00756516"/>
    <w:rsid w:val="00756BAA"/>
    <w:rsid w:val="0076187C"/>
    <w:rsid w:val="0076251F"/>
    <w:rsid w:val="007628F1"/>
    <w:rsid w:val="007672A6"/>
    <w:rsid w:val="0077161B"/>
    <w:rsid w:val="00771975"/>
    <w:rsid w:val="00772967"/>
    <w:rsid w:val="00772AB1"/>
    <w:rsid w:val="00774314"/>
    <w:rsid w:val="0077544E"/>
    <w:rsid w:val="00775CF2"/>
    <w:rsid w:val="00776859"/>
    <w:rsid w:val="00776C58"/>
    <w:rsid w:val="00777115"/>
    <w:rsid w:val="00780334"/>
    <w:rsid w:val="007807A3"/>
    <w:rsid w:val="00781978"/>
    <w:rsid w:val="00781D40"/>
    <w:rsid w:val="00782BB7"/>
    <w:rsid w:val="00784224"/>
    <w:rsid w:val="00785083"/>
    <w:rsid w:val="007868BE"/>
    <w:rsid w:val="00791AD2"/>
    <w:rsid w:val="00792096"/>
    <w:rsid w:val="007934F3"/>
    <w:rsid w:val="007937A6"/>
    <w:rsid w:val="00793D3E"/>
    <w:rsid w:val="007948E7"/>
    <w:rsid w:val="00795292"/>
    <w:rsid w:val="007952F2"/>
    <w:rsid w:val="00796C5B"/>
    <w:rsid w:val="00797272"/>
    <w:rsid w:val="00797927"/>
    <w:rsid w:val="00797DC9"/>
    <w:rsid w:val="007A02DA"/>
    <w:rsid w:val="007A2B07"/>
    <w:rsid w:val="007A2BF4"/>
    <w:rsid w:val="007A2CC0"/>
    <w:rsid w:val="007A4B30"/>
    <w:rsid w:val="007A7700"/>
    <w:rsid w:val="007B23DD"/>
    <w:rsid w:val="007B24C1"/>
    <w:rsid w:val="007B36DE"/>
    <w:rsid w:val="007B3B1A"/>
    <w:rsid w:val="007B5316"/>
    <w:rsid w:val="007B7727"/>
    <w:rsid w:val="007B7880"/>
    <w:rsid w:val="007C1A0E"/>
    <w:rsid w:val="007D0F73"/>
    <w:rsid w:val="007D1554"/>
    <w:rsid w:val="007D2786"/>
    <w:rsid w:val="007D5FB6"/>
    <w:rsid w:val="007E582B"/>
    <w:rsid w:val="007F2466"/>
    <w:rsid w:val="007F2F7F"/>
    <w:rsid w:val="007F3436"/>
    <w:rsid w:val="007F3ADA"/>
    <w:rsid w:val="007F4099"/>
    <w:rsid w:val="007F4278"/>
    <w:rsid w:val="007F52E1"/>
    <w:rsid w:val="007F7409"/>
    <w:rsid w:val="008017CF"/>
    <w:rsid w:val="00802BAC"/>
    <w:rsid w:val="00803D08"/>
    <w:rsid w:val="00810F7A"/>
    <w:rsid w:val="008139B5"/>
    <w:rsid w:val="0081498C"/>
    <w:rsid w:val="00817B31"/>
    <w:rsid w:val="00817D75"/>
    <w:rsid w:val="00820293"/>
    <w:rsid w:val="00820A29"/>
    <w:rsid w:val="00822E4F"/>
    <w:rsid w:val="008231D9"/>
    <w:rsid w:val="00824FFA"/>
    <w:rsid w:val="0082601A"/>
    <w:rsid w:val="00826692"/>
    <w:rsid w:val="00826EA9"/>
    <w:rsid w:val="00831AEE"/>
    <w:rsid w:val="00833325"/>
    <w:rsid w:val="0083368B"/>
    <w:rsid w:val="00836181"/>
    <w:rsid w:val="00841696"/>
    <w:rsid w:val="00841A35"/>
    <w:rsid w:val="00842CD3"/>
    <w:rsid w:val="00842ECD"/>
    <w:rsid w:val="008455D0"/>
    <w:rsid w:val="008456C4"/>
    <w:rsid w:val="00845DF3"/>
    <w:rsid w:val="00846A62"/>
    <w:rsid w:val="00846F9A"/>
    <w:rsid w:val="00851CC9"/>
    <w:rsid w:val="008533BF"/>
    <w:rsid w:val="008535CD"/>
    <w:rsid w:val="0085382B"/>
    <w:rsid w:val="0085635E"/>
    <w:rsid w:val="008578DF"/>
    <w:rsid w:val="00860B45"/>
    <w:rsid w:val="00861AFD"/>
    <w:rsid w:val="00865267"/>
    <w:rsid w:val="00865AF9"/>
    <w:rsid w:val="00871F4F"/>
    <w:rsid w:val="00872C1B"/>
    <w:rsid w:val="0087739F"/>
    <w:rsid w:val="00880CE5"/>
    <w:rsid w:val="0088131F"/>
    <w:rsid w:val="008821F6"/>
    <w:rsid w:val="0088570B"/>
    <w:rsid w:val="00891228"/>
    <w:rsid w:val="00893C8B"/>
    <w:rsid w:val="0089492B"/>
    <w:rsid w:val="00894BCA"/>
    <w:rsid w:val="0089527F"/>
    <w:rsid w:val="008955D5"/>
    <w:rsid w:val="00897217"/>
    <w:rsid w:val="00897B77"/>
    <w:rsid w:val="00897C10"/>
    <w:rsid w:val="008A2587"/>
    <w:rsid w:val="008A2752"/>
    <w:rsid w:val="008A3BAD"/>
    <w:rsid w:val="008A439A"/>
    <w:rsid w:val="008A4A9A"/>
    <w:rsid w:val="008A5FD4"/>
    <w:rsid w:val="008A6BC1"/>
    <w:rsid w:val="008A75EA"/>
    <w:rsid w:val="008B0B82"/>
    <w:rsid w:val="008B1403"/>
    <w:rsid w:val="008B1BA3"/>
    <w:rsid w:val="008B2BB2"/>
    <w:rsid w:val="008B2E12"/>
    <w:rsid w:val="008B45DC"/>
    <w:rsid w:val="008B4653"/>
    <w:rsid w:val="008B53E5"/>
    <w:rsid w:val="008B6D23"/>
    <w:rsid w:val="008B7334"/>
    <w:rsid w:val="008B77A9"/>
    <w:rsid w:val="008B7AEB"/>
    <w:rsid w:val="008C033C"/>
    <w:rsid w:val="008C095C"/>
    <w:rsid w:val="008C1AE7"/>
    <w:rsid w:val="008C3101"/>
    <w:rsid w:val="008C43F9"/>
    <w:rsid w:val="008C6754"/>
    <w:rsid w:val="008D4858"/>
    <w:rsid w:val="008D664D"/>
    <w:rsid w:val="008D66BF"/>
    <w:rsid w:val="008D6AD3"/>
    <w:rsid w:val="008E181A"/>
    <w:rsid w:val="008E197C"/>
    <w:rsid w:val="008E60A7"/>
    <w:rsid w:val="008F16C4"/>
    <w:rsid w:val="008F27C2"/>
    <w:rsid w:val="008F37C8"/>
    <w:rsid w:val="008F55EB"/>
    <w:rsid w:val="008F7614"/>
    <w:rsid w:val="00901EEA"/>
    <w:rsid w:val="00902236"/>
    <w:rsid w:val="00904BF5"/>
    <w:rsid w:val="00905D1D"/>
    <w:rsid w:val="00907426"/>
    <w:rsid w:val="009109F5"/>
    <w:rsid w:val="00911088"/>
    <w:rsid w:val="009110B4"/>
    <w:rsid w:val="00912910"/>
    <w:rsid w:val="00920ADC"/>
    <w:rsid w:val="00921D8E"/>
    <w:rsid w:val="0092296A"/>
    <w:rsid w:val="00923CA1"/>
    <w:rsid w:val="009268C4"/>
    <w:rsid w:val="00926A8D"/>
    <w:rsid w:val="00927506"/>
    <w:rsid w:val="0093014F"/>
    <w:rsid w:val="00930529"/>
    <w:rsid w:val="009307A7"/>
    <w:rsid w:val="00932E5B"/>
    <w:rsid w:val="00933F18"/>
    <w:rsid w:val="00937F7A"/>
    <w:rsid w:val="009425F8"/>
    <w:rsid w:val="00945DAF"/>
    <w:rsid w:val="0095019F"/>
    <w:rsid w:val="00951F18"/>
    <w:rsid w:val="00953985"/>
    <w:rsid w:val="00955C9C"/>
    <w:rsid w:val="00956200"/>
    <w:rsid w:val="00963839"/>
    <w:rsid w:val="009660BE"/>
    <w:rsid w:val="00967B09"/>
    <w:rsid w:val="009705ED"/>
    <w:rsid w:val="00970D19"/>
    <w:rsid w:val="00972FA4"/>
    <w:rsid w:val="009767C1"/>
    <w:rsid w:val="00982584"/>
    <w:rsid w:val="0098698A"/>
    <w:rsid w:val="00992185"/>
    <w:rsid w:val="0099218F"/>
    <w:rsid w:val="009938C3"/>
    <w:rsid w:val="00997C9D"/>
    <w:rsid w:val="009A0E77"/>
    <w:rsid w:val="009A2305"/>
    <w:rsid w:val="009A2932"/>
    <w:rsid w:val="009A7DA6"/>
    <w:rsid w:val="009B0293"/>
    <w:rsid w:val="009B233B"/>
    <w:rsid w:val="009B2CAB"/>
    <w:rsid w:val="009B3000"/>
    <w:rsid w:val="009B6388"/>
    <w:rsid w:val="009B737F"/>
    <w:rsid w:val="009B7FA1"/>
    <w:rsid w:val="009C19D0"/>
    <w:rsid w:val="009C2BD4"/>
    <w:rsid w:val="009C52B5"/>
    <w:rsid w:val="009C6EB0"/>
    <w:rsid w:val="009C771B"/>
    <w:rsid w:val="009C7CD6"/>
    <w:rsid w:val="009D210B"/>
    <w:rsid w:val="009D550F"/>
    <w:rsid w:val="009D685B"/>
    <w:rsid w:val="009D6BB4"/>
    <w:rsid w:val="009D7102"/>
    <w:rsid w:val="009E1B4D"/>
    <w:rsid w:val="009E2448"/>
    <w:rsid w:val="009E3C40"/>
    <w:rsid w:val="009E4209"/>
    <w:rsid w:val="009E4E26"/>
    <w:rsid w:val="009E6038"/>
    <w:rsid w:val="009E6C96"/>
    <w:rsid w:val="009E7DCD"/>
    <w:rsid w:val="009E7E09"/>
    <w:rsid w:val="009F0272"/>
    <w:rsid w:val="009F0CD8"/>
    <w:rsid w:val="009F1315"/>
    <w:rsid w:val="009F6D10"/>
    <w:rsid w:val="009F71EA"/>
    <w:rsid w:val="00A0093A"/>
    <w:rsid w:val="00A01000"/>
    <w:rsid w:val="00A01315"/>
    <w:rsid w:val="00A01821"/>
    <w:rsid w:val="00A0282C"/>
    <w:rsid w:val="00A03333"/>
    <w:rsid w:val="00A04FAA"/>
    <w:rsid w:val="00A07D57"/>
    <w:rsid w:val="00A10246"/>
    <w:rsid w:val="00A102AC"/>
    <w:rsid w:val="00A10F45"/>
    <w:rsid w:val="00A1330E"/>
    <w:rsid w:val="00A136C3"/>
    <w:rsid w:val="00A14550"/>
    <w:rsid w:val="00A154B1"/>
    <w:rsid w:val="00A15BB2"/>
    <w:rsid w:val="00A16DC1"/>
    <w:rsid w:val="00A22E99"/>
    <w:rsid w:val="00A23EC1"/>
    <w:rsid w:val="00A24C89"/>
    <w:rsid w:val="00A24FCC"/>
    <w:rsid w:val="00A25BDC"/>
    <w:rsid w:val="00A261D1"/>
    <w:rsid w:val="00A268DF"/>
    <w:rsid w:val="00A307A4"/>
    <w:rsid w:val="00A30B2C"/>
    <w:rsid w:val="00A3191C"/>
    <w:rsid w:val="00A32A95"/>
    <w:rsid w:val="00A36175"/>
    <w:rsid w:val="00A375F0"/>
    <w:rsid w:val="00A403E7"/>
    <w:rsid w:val="00A40ADA"/>
    <w:rsid w:val="00A44C43"/>
    <w:rsid w:val="00A45BFC"/>
    <w:rsid w:val="00A5426C"/>
    <w:rsid w:val="00A54661"/>
    <w:rsid w:val="00A54F79"/>
    <w:rsid w:val="00A5633B"/>
    <w:rsid w:val="00A56384"/>
    <w:rsid w:val="00A64100"/>
    <w:rsid w:val="00A65C9F"/>
    <w:rsid w:val="00A66D1E"/>
    <w:rsid w:val="00A729C3"/>
    <w:rsid w:val="00A7644F"/>
    <w:rsid w:val="00A77AB8"/>
    <w:rsid w:val="00A83670"/>
    <w:rsid w:val="00A84194"/>
    <w:rsid w:val="00A841D0"/>
    <w:rsid w:val="00A84CEA"/>
    <w:rsid w:val="00A85072"/>
    <w:rsid w:val="00A921F2"/>
    <w:rsid w:val="00A93319"/>
    <w:rsid w:val="00A93C4D"/>
    <w:rsid w:val="00A961BA"/>
    <w:rsid w:val="00A96709"/>
    <w:rsid w:val="00A977F3"/>
    <w:rsid w:val="00A97EBD"/>
    <w:rsid w:val="00AA1382"/>
    <w:rsid w:val="00AA1495"/>
    <w:rsid w:val="00AA170E"/>
    <w:rsid w:val="00AA1762"/>
    <w:rsid w:val="00AA2808"/>
    <w:rsid w:val="00AA2C3A"/>
    <w:rsid w:val="00AA40A0"/>
    <w:rsid w:val="00AA494B"/>
    <w:rsid w:val="00AA5701"/>
    <w:rsid w:val="00AA5BE4"/>
    <w:rsid w:val="00AA7C05"/>
    <w:rsid w:val="00AA7FE5"/>
    <w:rsid w:val="00AB0C49"/>
    <w:rsid w:val="00AB3D87"/>
    <w:rsid w:val="00AB514C"/>
    <w:rsid w:val="00AB544F"/>
    <w:rsid w:val="00AB6CF9"/>
    <w:rsid w:val="00AB6FBA"/>
    <w:rsid w:val="00AC075B"/>
    <w:rsid w:val="00AC3FDF"/>
    <w:rsid w:val="00AC5954"/>
    <w:rsid w:val="00AC6383"/>
    <w:rsid w:val="00AD344A"/>
    <w:rsid w:val="00AD5B54"/>
    <w:rsid w:val="00AD5DD9"/>
    <w:rsid w:val="00AE0EAF"/>
    <w:rsid w:val="00AE3E41"/>
    <w:rsid w:val="00AE4D70"/>
    <w:rsid w:val="00AE55D2"/>
    <w:rsid w:val="00AE6E27"/>
    <w:rsid w:val="00AE6E5D"/>
    <w:rsid w:val="00AE7BB8"/>
    <w:rsid w:val="00AF1666"/>
    <w:rsid w:val="00AF1D96"/>
    <w:rsid w:val="00B00071"/>
    <w:rsid w:val="00B008F5"/>
    <w:rsid w:val="00B00A88"/>
    <w:rsid w:val="00B03C0E"/>
    <w:rsid w:val="00B040C1"/>
    <w:rsid w:val="00B0667D"/>
    <w:rsid w:val="00B069D9"/>
    <w:rsid w:val="00B06AD3"/>
    <w:rsid w:val="00B07414"/>
    <w:rsid w:val="00B108C8"/>
    <w:rsid w:val="00B124DD"/>
    <w:rsid w:val="00B12D9F"/>
    <w:rsid w:val="00B13092"/>
    <w:rsid w:val="00B15430"/>
    <w:rsid w:val="00B20E28"/>
    <w:rsid w:val="00B219FC"/>
    <w:rsid w:val="00B21CC1"/>
    <w:rsid w:val="00B22D5D"/>
    <w:rsid w:val="00B22EFD"/>
    <w:rsid w:val="00B23188"/>
    <w:rsid w:val="00B231E5"/>
    <w:rsid w:val="00B236F8"/>
    <w:rsid w:val="00B23C25"/>
    <w:rsid w:val="00B246E5"/>
    <w:rsid w:val="00B25273"/>
    <w:rsid w:val="00B260DA"/>
    <w:rsid w:val="00B274CC"/>
    <w:rsid w:val="00B27D8C"/>
    <w:rsid w:val="00B30C13"/>
    <w:rsid w:val="00B3262A"/>
    <w:rsid w:val="00B36577"/>
    <w:rsid w:val="00B377B5"/>
    <w:rsid w:val="00B409C9"/>
    <w:rsid w:val="00B4351D"/>
    <w:rsid w:val="00B43611"/>
    <w:rsid w:val="00B43B69"/>
    <w:rsid w:val="00B52FB3"/>
    <w:rsid w:val="00B532A6"/>
    <w:rsid w:val="00B56111"/>
    <w:rsid w:val="00B60039"/>
    <w:rsid w:val="00B60F84"/>
    <w:rsid w:val="00B63E96"/>
    <w:rsid w:val="00B64926"/>
    <w:rsid w:val="00B64927"/>
    <w:rsid w:val="00B64D8B"/>
    <w:rsid w:val="00B6745A"/>
    <w:rsid w:val="00B70DB8"/>
    <w:rsid w:val="00B70EC2"/>
    <w:rsid w:val="00B71238"/>
    <w:rsid w:val="00B71A62"/>
    <w:rsid w:val="00B73D15"/>
    <w:rsid w:val="00B76981"/>
    <w:rsid w:val="00B77C14"/>
    <w:rsid w:val="00B82A90"/>
    <w:rsid w:val="00B830A3"/>
    <w:rsid w:val="00B83264"/>
    <w:rsid w:val="00B84316"/>
    <w:rsid w:val="00B86B2E"/>
    <w:rsid w:val="00B900F5"/>
    <w:rsid w:val="00B90591"/>
    <w:rsid w:val="00B919A3"/>
    <w:rsid w:val="00B91C0D"/>
    <w:rsid w:val="00B923B7"/>
    <w:rsid w:val="00B93D8D"/>
    <w:rsid w:val="00B94C24"/>
    <w:rsid w:val="00B95E43"/>
    <w:rsid w:val="00BA0167"/>
    <w:rsid w:val="00BA159D"/>
    <w:rsid w:val="00BA174A"/>
    <w:rsid w:val="00BA4606"/>
    <w:rsid w:val="00BA5B68"/>
    <w:rsid w:val="00BA740C"/>
    <w:rsid w:val="00BB0CAD"/>
    <w:rsid w:val="00BB10EC"/>
    <w:rsid w:val="00BB2C3B"/>
    <w:rsid w:val="00BB41B4"/>
    <w:rsid w:val="00BB43EC"/>
    <w:rsid w:val="00BB507F"/>
    <w:rsid w:val="00BB5DB3"/>
    <w:rsid w:val="00BB65FF"/>
    <w:rsid w:val="00BB6898"/>
    <w:rsid w:val="00BC2A7A"/>
    <w:rsid w:val="00BC4AC5"/>
    <w:rsid w:val="00BC52A8"/>
    <w:rsid w:val="00BC7A65"/>
    <w:rsid w:val="00BC7B83"/>
    <w:rsid w:val="00BD0959"/>
    <w:rsid w:val="00BD3BB5"/>
    <w:rsid w:val="00BE01E5"/>
    <w:rsid w:val="00BE36BE"/>
    <w:rsid w:val="00BE54ED"/>
    <w:rsid w:val="00BE7B07"/>
    <w:rsid w:val="00BF0D2F"/>
    <w:rsid w:val="00BF255E"/>
    <w:rsid w:val="00BF48E9"/>
    <w:rsid w:val="00BF5905"/>
    <w:rsid w:val="00BF6A2B"/>
    <w:rsid w:val="00BF6A95"/>
    <w:rsid w:val="00BF78F6"/>
    <w:rsid w:val="00BF794D"/>
    <w:rsid w:val="00C01A5F"/>
    <w:rsid w:val="00C01BEC"/>
    <w:rsid w:val="00C02917"/>
    <w:rsid w:val="00C03485"/>
    <w:rsid w:val="00C04AE0"/>
    <w:rsid w:val="00C05581"/>
    <w:rsid w:val="00C06943"/>
    <w:rsid w:val="00C12235"/>
    <w:rsid w:val="00C13F56"/>
    <w:rsid w:val="00C14748"/>
    <w:rsid w:val="00C14BFA"/>
    <w:rsid w:val="00C14C15"/>
    <w:rsid w:val="00C14C45"/>
    <w:rsid w:val="00C155D8"/>
    <w:rsid w:val="00C15AB3"/>
    <w:rsid w:val="00C175FC"/>
    <w:rsid w:val="00C20D3B"/>
    <w:rsid w:val="00C2457A"/>
    <w:rsid w:val="00C25353"/>
    <w:rsid w:val="00C25DFB"/>
    <w:rsid w:val="00C263E3"/>
    <w:rsid w:val="00C27C32"/>
    <w:rsid w:val="00C33DE6"/>
    <w:rsid w:val="00C34E2E"/>
    <w:rsid w:val="00C35CCF"/>
    <w:rsid w:val="00C35D7E"/>
    <w:rsid w:val="00C35F1C"/>
    <w:rsid w:val="00C40E7E"/>
    <w:rsid w:val="00C41EEB"/>
    <w:rsid w:val="00C431FA"/>
    <w:rsid w:val="00C432F9"/>
    <w:rsid w:val="00C4475D"/>
    <w:rsid w:val="00C44EA1"/>
    <w:rsid w:val="00C50617"/>
    <w:rsid w:val="00C51016"/>
    <w:rsid w:val="00C51F3D"/>
    <w:rsid w:val="00C54199"/>
    <w:rsid w:val="00C56D43"/>
    <w:rsid w:val="00C571C2"/>
    <w:rsid w:val="00C576F4"/>
    <w:rsid w:val="00C825C7"/>
    <w:rsid w:val="00C846B1"/>
    <w:rsid w:val="00C875BF"/>
    <w:rsid w:val="00C923A4"/>
    <w:rsid w:val="00C9339B"/>
    <w:rsid w:val="00C93F75"/>
    <w:rsid w:val="00C9412B"/>
    <w:rsid w:val="00C943EC"/>
    <w:rsid w:val="00C97310"/>
    <w:rsid w:val="00C9798B"/>
    <w:rsid w:val="00CA1EA0"/>
    <w:rsid w:val="00CA22D7"/>
    <w:rsid w:val="00CA5CAF"/>
    <w:rsid w:val="00CA6036"/>
    <w:rsid w:val="00CA60A3"/>
    <w:rsid w:val="00CA6305"/>
    <w:rsid w:val="00CB11CF"/>
    <w:rsid w:val="00CB13CA"/>
    <w:rsid w:val="00CB1F18"/>
    <w:rsid w:val="00CB322C"/>
    <w:rsid w:val="00CB34B6"/>
    <w:rsid w:val="00CB35DD"/>
    <w:rsid w:val="00CB3C48"/>
    <w:rsid w:val="00CB5D2A"/>
    <w:rsid w:val="00CB6905"/>
    <w:rsid w:val="00CB6976"/>
    <w:rsid w:val="00CC063F"/>
    <w:rsid w:val="00CC102A"/>
    <w:rsid w:val="00CC10F9"/>
    <w:rsid w:val="00CC1C4A"/>
    <w:rsid w:val="00CC2885"/>
    <w:rsid w:val="00CC30D1"/>
    <w:rsid w:val="00CC6AF8"/>
    <w:rsid w:val="00CD2579"/>
    <w:rsid w:val="00CD479D"/>
    <w:rsid w:val="00CE0150"/>
    <w:rsid w:val="00CE1DBD"/>
    <w:rsid w:val="00CE3AC4"/>
    <w:rsid w:val="00CE44A9"/>
    <w:rsid w:val="00CE507B"/>
    <w:rsid w:val="00CE6054"/>
    <w:rsid w:val="00CF0554"/>
    <w:rsid w:val="00CF3B7D"/>
    <w:rsid w:val="00CF636D"/>
    <w:rsid w:val="00CF6B56"/>
    <w:rsid w:val="00CF6C49"/>
    <w:rsid w:val="00CF7897"/>
    <w:rsid w:val="00D00A96"/>
    <w:rsid w:val="00D015A3"/>
    <w:rsid w:val="00D04FC9"/>
    <w:rsid w:val="00D05837"/>
    <w:rsid w:val="00D05979"/>
    <w:rsid w:val="00D100B1"/>
    <w:rsid w:val="00D103CB"/>
    <w:rsid w:val="00D11271"/>
    <w:rsid w:val="00D12770"/>
    <w:rsid w:val="00D139F6"/>
    <w:rsid w:val="00D15E1B"/>
    <w:rsid w:val="00D168F7"/>
    <w:rsid w:val="00D16D90"/>
    <w:rsid w:val="00D22DBB"/>
    <w:rsid w:val="00D23682"/>
    <w:rsid w:val="00D239E3"/>
    <w:rsid w:val="00D24A3F"/>
    <w:rsid w:val="00D24B38"/>
    <w:rsid w:val="00D250DD"/>
    <w:rsid w:val="00D25241"/>
    <w:rsid w:val="00D25394"/>
    <w:rsid w:val="00D26433"/>
    <w:rsid w:val="00D26D5C"/>
    <w:rsid w:val="00D2762F"/>
    <w:rsid w:val="00D3083E"/>
    <w:rsid w:val="00D316E6"/>
    <w:rsid w:val="00D323D2"/>
    <w:rsid w:val="00D34018"/>
    <w:rsid w:val="00D34FC5"/>
    <w:rsid w:val="00D361E9"/>
    <w:rsid w:val="00D44778"/>
    <w:rsid w:val="00D50A73"/>
    <w:rsid w:val="00D514BF"/>
    <w:rsid w:val="00D515C5"/>
    <w:rsid w:val="00D52505"/>
    <w:rsid w:val="00D54FBB"/>
    <w:rsid w:val="00D55763"/>
    <w:rsid w:val="00D56C17"/>
    <w:rsid w:val="00D60A88"/>
    <w:rsid w:val="00D63E4C"/>
    <w:rsid w:val="00D668EA"/>
    <w:rsid w:val="00D7188B"/>
    <w:rsid w:val="00D71D95"/>
    <w:rsid w:val="00D7524C"/>
    <w:rsid w:val="00D7548C"/>
    <w:rsid w:val="00D75569"/>
    <w:rsid w:val="00D7601B"/>
    <w:rsid w:val="00D814DA"/>
    <w:rsid w:val="00D81A0F"/>
    <w:rsid w:val="00D81FB1"/>
    <w:rsid w:val="00D911D8"/>
    <w:rsid w:val="00D93317"/>
    <w:rsid w:val="00D93835"/>
    <w:rsid w:val="00D94D39"/>
    <w:rsid w:val="00D979E0"/>
    <w:rsid w:val="00DA0383"/>
    <w:rsid w:val="00DA0E84"/>
    <w:rsid w:val="00DA7E79"/>
    <w:rsid w:val="00DB3384"/>
    <w:rsid w:val="00DB3ACD"/>
    <w:rsid w:val="00DB5791"/>
    <w:rsid w:val="00DB5EA1"/>
    <w:rsid w:val="00DC0F67"/>
    <w:rsid w:val="00DC210F"/>
    <w:rsid w:val="00DC48C6"/>
    <w:rsid w:val="00DC4C47"/>
    <w:rsid w:val="00DC549E"/>
    <w:rsid w:val="00DC664F"/>
    <w:rsid w:val="00DC7A5A"/>
    <w:rsid w:val="00DD19B9"/>
    <w:rsid w:val="00DD2114"/>
    <w:rsid w:val="00DD227F"/>
    <w:rsid w:val="00DD4658"/>
    <w:rsid w:val="00DD6573"/>
    <w:rsid w:val="00DD75D7"/>
    <w:rsid w:val="00DD7A1D"/>
    <w:rsid w:val="00DE34E3"/>
    <w:rsid w:val="00DF058C"/>
    <w:rsid w:val="00DF1EFB"/>
    <w:rsid w:val="00DF2CF2"/>
    <w:rsid w:val="00DF511F"/>
    <w:rsid w:val="00DF519E"/>
    <w:rsid w:val="00E00F12"/>
    <w:rsid w:val="00E014D5"/>
    <w:rsid w:val="00E015C3"/>
    <w:rsid w:val="00E03028"/>
    <w:rsid w:val="00E03618"/>
    <w:rsid w:val="00E04820"/>
    <w:rsid w:val="00E04CA7"/>
    <w:rsid w:val="00E05926"/>
    <w:rsid w:val="00E07D01"/>
    <w:rsid w:val="00E11546"/>
    <w:rsid w:val="00E13C53"/>
    <w:rsid w:val="00E144B2"/>
    <w:rsid w:val="00E16B26"/>
    <w:rsid w:val="00E17EE3"/>
    <w:rsid w:val="00E220A8"/>
    <w:rsid w:val="00E220B9"/>
    <w:rsid w:val="00E226D8"/>
    <w:rsid w:val="00E2406C"/>
    <w:rsid w:val="00E24351"/>
    <w:rsid w:val="00E33277"/>
    <w:rsid w:val="00E33D78"/>
    <w:rsid w:val="00E376F3"/>
    <w:rsid w:val="00E4300E"/>
    <w:rsid w:val="00E44D67"/>
    <w:rsid w:val="00E45017"/>
    <w:rsid w:val="00E5205C"/>
    <w:rsid w:val="00E546C2"/>
    <w:rsid w:val="00E54A0E"/>
    <w:rsid w:val="00E550A9"/>
    <w:rsid w:val="00E57183"/>
    <w:rsid w:val="00E57FC5"/>
    <w:rsid w:val="00E60387"/>
    <w:rsid w:val="00E61778"/>
    <w:rsid w:val="00E632EE"/>
    <w:rsid w:val="00E63540"/>
    <w:rsid w:val="00E65821"/>
    <w:rsid w:val="00E672B6"/>
    <w:rsid w:val="00E700BC"/>
    <w:rsid w:val="00E70520"/>
    <w:rsid w:val="00E72281"/>
    <w:rsid w:val="00E7396D"/>
    <w:rsid w:val="00E752FE"/>
    <w:rsid w:val="00E80906"/>
    <w:rsid w:val="00E825E1"/>
    <w:rsid w:val="00E83D59"/>
    <w:rsid w:val="00E85378"/>
    <w:rsid w:val="00E87759"/>
    <w:rsid w:val="00E87CE1"/>
    <w:rsid w:val="00E91429"/>
    <w:rsid w:val="00E92FD8"/>
    <w:rsid w:val="00E931DE"/>
    <w:rsid w:val="00E9578E"/>
    <w:rsid w:val="00E95ACE"/>
    <w:rsid w:val="00E979E1"/>
    <w:rsid w:val="00EA3E95"/>
    <w:rsid w:val="00EA6A32"/>
    <w:rsid w:val="00EA71CE"/>
    <w:rsid w:val="00EB1EFA"/>
    <w:rsid w:val="00EB1F31"/>
    <w:rsid w:val="00EB20EF"/>
    <w:rsid w:val="00EB320D"/>
    <w:rsid w:val="00EB7CFB"/>
    <w:rsid w:val="00EB7D02"/>
    <w:rsid w:val="00EC008D"/>
    <w:rsid w:val="00EC0D64"/>
    <w:rsid w:val="00EC16B8"/>
    <w:rsid w:val="00EC1AA2"/>
    <w:rsid w:val="00EC39C0"/>
    <w:rsid w:val="00EC4194"/>
    <w:rsid w:val="00EC59E1"/>
    <w:rsid w:val="00EC682F"/>
    <w:rsid w:val="00EC6A73"/>
    <w:rsid w:val="00EC7DD8"/>
    <w:rsid w:val="00EE04BD"/>
    <w:rsid w:val="00EE13BF"/>
    <w:rsid w:val="00EE2B1F"/>
    <w:rsid w:val="00EE4609"/>
    <w:rsid w:val="00EE4E44"/>
    <w:rsid w:val="00EE6419"/>
    <w:rsid w:val="00EE74B4"/>
    <w:rsid w:val="00EE7E45"/>
    <w:rsid w:val="00EF00B8"/>
    <w:rsid w:val="00EF1E6F"/>
    <w:rsid w:val="00EF3D9D"/>
    <w:rsid w:val="00EF4289"/>
    <w:rsid w:val="00EF7C58"/>
    <w:rsid w:val="00F00CD8"/>
    <w:rsid w:val="00F01A75"/>
    <w:rsid w:val="00F0239A"/>
    <w:rsid w:val="00F0250B"/>
    <w:rsid w:val="00F030E0"/>
    <w:rsid w:val="00F036F4"/>
    <w:rsid w:val="00F05A4F"/>
    <w:rsid w:val="00F10131"/>
    <w:rsid w:val="00F12D4F"/>
    <w:rsid w:val="00F161DC"/>
    <w:rsid w:val="00F172E2"/>
    <w:rsid w:val="00F17E6E"/>
    <w:rsid w:val="00F2015B"/>
    <w:rsid w:val="00F211A8"/>
    <w:rsid w:val="00F2129D"/>
    <w:rsid w:val="00F239F7"/>
    <w:rsid w:val="00F30D02"/>
    <w:rsid w:val="00F30E79"/>
    <w:rsid w:val="00F31F68"/>
    <w:rsid w:val="00F33F7E"/>
    <w:rsid w:val="00F3550C"/>
    <w:rsid w:val="00F36C3E"/>
    <w:rsid w:val="00F37805"/>
    <w:rsid w:val="00F41786"/>
    <w:rsid w:val="00F46C0C"/>
    <w:rsid w:val="00F50CC2"/>
    <w:rsid w:val="00F55452"/>
    <w:rsid w:val="00F55AD6"/>
    <w:rsid w:val="00F56CDA"/>
    <w:rsid w:val="00F57188"/>
    <w:rsid w:val="00F606C7"/>
    <w:rsid w:val="00F626FF"/>
    <w:rsid w:val="00F64A97"/>
    <w:rsid w:val="00F6504E"/>
    <w:rsid w:val="00F65B7B"/>
    <w:rsid w:val="00F67364"/>
    <w:rsid w:val="00F6739E"/>
    <w:rsid w:val="00F715FC"/>
    <w:rsid w:val="00F71626"/>
    <w:rsid w:val="00F7234B"/>
    <w:rsid w:val="00F72E7A"/>
    <w:rsid w:val="00F72FD9"/>
    <w:rsid w:val="00F76A44"/>
    <w:rsid w:val="00F77C4C"/>
    <w:rsid w:val="00F811F6"/>
    <w:rsid w:val="00F8224C"/>
    <w:rsid w:val="00F833E8"/>
    <w:rsid w:val="00F84E9F"/>
    <w:rsid w:val="00F86567"/>
    <w:rsid w:val="00F86C7E"/>
    <w:rsid w:val="00F8709C"/>
    <w:rsid w:val="00F870BA"/>
    <w:rsid w:val="00F87672"/>
    <w:rsid w:val="00F9071E"/>
    <w:rsid w:val="00F90ABE"/>
    <w:rsid w:val="00F92FA6"/>
    <w:rsid w:val="00F942D1"/>
    <w:rsid w:val="00F944CE"/>
    <w:rsid w:val="00F9788E"/>
    <w:rsid w:val="00FA0E59"/>
    <w:rsid w:val="00FA1485"/>
    <w:rsid w:val="00FA301E"/>
    <w:rsid w:val="00FA3665"/>
    <w:rsid w:val="00FA3C15"/>
    <w:rsid w:val="00FA3FEF"/>
    <w:rsid w:val="00FA427E"/>
    <w:rsid w:val="00FA5B1B"/>
    <w:rsid w:val="00FA5B6C"/>
    <w:rsid w:val="00FA6C0B"/>
    <w:rsid w:val="00FB0C1C"/>
    <w:rsid w:val="00FB1CC3"/>
    <w:rsid w:val="00FB2DFE"/>
    <w:rsid w:val="00FB6F44"/>
    <w:rsid w:val="00FC065B"/>
    <w:rsid w:val="00FC1218"/>
    <w:rsid w:val="00FC2244"/>
    <w:rsid w:val="00FC3C75"/>
    <w:rsid w:val="00FC499D"/>
    <w:rsid w:val="00FC62D0"/>
    <w:rsid w:val="00FC6EC3"/>
    <w:rsid w:val="00FC7259"/>
    <w:rsid w:val="00FC758A"/>
    <w:rsid w:val="00FC7C10"/>
    <w:rsid w:val="00FD19AE"/>
    <w:rsid w:val="00FD2710"/>
    <w:rsid w:val="00FD322B"/>
    <w:rsid w:val="00FD3C10"/>
    <w:rsid w:val="00FD4120"/>
    <w:rsid w:val="00FD5DBA"/>
    <w:rsid w:val="00FD5DF0"/>
    <w:rsid w:val="00FD7A7E"/>
    <w:rsid w:val="00FE0995"/>
    <w:rsid w:val="00FE41AF"/>
    <w:rsid w:val="00FE6727"/>
    <w:rsid w:val="00FE6F78"/>
    <w:rsid w:val="00FE7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F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Norm">
    <w:name w:val="CDC_Norm"/>
    <w:basedOn w:val="Normal"/>
    <w:qFormat/>
    <w:rsid w:val="009B233B"/>
    <w:pPr>
      <w:spacing w:after="0" w:line="240" w:lineRule="auto"/>
      <w:jc w:val="both"/>
    </w:pPr>
    <w:rPr>
      <w:rFonts w:ascii="Arial" w:hAnsi="Arial" w:cs="Times New Roman"/>
      <w:szCs w:val="24"/>
      <w:lang w:eastAsia="fr-LU"/>
    </w:rPr>
  </w:style>
  <w:style w:type="paragraph" w:styleId="FootnoteText">
    <w:name w:val="footnote text"/>
    <w:aliases w:val="Char Char,Footnote Text Char1,Footnote Text Char Char1,Footnote Text Char Char Char,Char Char Char Char,Footnote Text Char1 Char,Footnote Text Char Char1 Char,Char Char Char1 Char, Char Char"/>
    <w:basedOn w:val="Normal"/>
    <w:link w:val="FootnoteTextChar"/>
    <w:uiPriority w:val="99"/>
    <w:unhideWhenUsed/>
    <w:rsid w:val="00BB2C3B"/>
    <w:pPr>
      <w:spacing w:after="0" w:line="240" w:lineRule="auto"/>
    </w:pPr>
    <w:rPr>
      <w:sz w:val="20"/>
      <w:szCs w:val="20"/>
    </w:rPr>
  </w:style>
  <w:style w:type="character" w:customStyle="1" w:styleId="FootnoteTextChar">
    <w:name w:val="Footnote Text Char"/>
    <w:aliases w:val="Char Char Char,Footnote Text Char1 Char1,Footnote Text Char Char1 Char1,Footnote Text Char Char Char Char,Char Char Char Char Char,Footnote Text Char1 Char Char,Footnote Text Char Char1 Char Char,Char Char Char1 Char Char"/>
    <w:basedOn w:val="DefaultParagraphFont"/>
    <w:link w:val="FootnoteText"/>
    <w:uiPriority w:val="99"/>
    <w:rsid w:val="00BB2C3B"/>
    <w:rPr>
      <w:sz w:val="20"/>
      <w:szCs w:val="20"/>
    </w:rPr>
  </w:style>
  <w:style w:type="character" w:styleId="FootnoteReference">
    <w:name w:val="footnote reference"/>
    <w:aliases w:val="Footnote"/>
    <w:basedOn w:val="DefaultParagraphFont"/>
    <w:uiPriority w:val="99"/>
    <w:semiHidden/>
    <w:unhideWhenUsed/>
    <w:rsid w:val="00BB2C3B"/>
    <w:rPr>
      <w:vertAlign w:val="superscript"/>
    </w:rPr>
  </w:style>
  <w:style w:type="paragraph" w:styleId="BalloonText">
    <w:name w:val="Balloon Text"/>
    <w:basedOn w:val="Normal"/>
    <w:link w:val="BalloonTextChar"/>
    <w:uiPriority w:val="99"/>
    <w:semiHidden/>
    <w:unhideWhenUsed/>
    <w:rsid w:val="00BB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C3B"/>
    <w:rPr>
      <w:rFonts w:ascii="Tahoma" w:hAnsi="Tahoma" w:cs="Tahoma"/>
      <w:sz w:val="16"/>
      <w:szCs w:val="16"/>
    </w:rPr>
  </w:style>
  <w:style w:type="paragraph" w:styleId="Header">
    <w:name w:val="header"/>
    <w:basedOn w:val="Normal"/>
    <w:link w:val="HeaderChar"/>
    <w:uiPriority w:val="99"/>
    <w:unhideWhenUsed/>
    <w:rsid w:val="006822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2297"/>
  </w:style>
  <w:style w:type="paragraph" w:styleId="Footer">
    <w:name w:val="footer"/>
    <w:basedOn w:val="Normal"/>
    <w:link w:val="FooterChar"/>
    <w:uiPriority w:val="99"/>
    <w:semiHidden/>
    <w:unhideWhenUsed/>
    <w:rsid w:val="006822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82297"/>
  </w:style>
  <w:style w:type="paragraph" w:customStyle="1" w:styleId="Corpsdetexte3">
    <w:name w:val="Corps de texte 3"/>
    <w:basedOn w:val="Normal"/>
    <w:next w:val="Normal"/>
    <w:rsid w:val="00B00071"/>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E6038"/>
    <w:pPr>
      <w:spacing w:after="0" w:line="240" w:lineRule="auto"/>
      <w:ind w:left="720"/>
      <w:contextualSpacing/>
    </w:pPr>
    <w:rPr>
      <w:rFonts w:ascii="Times New Roman" w:eastAsia="MS Mincho" w:hAnsi="Times New Roman" w:cs="Times New Roman"/>
      <w:sz w:val="24"/>
      <w:szCs w:val="24"/>
      <w:lang w:val="en-US" w:eastAsia="ja-JP"/>
    </w:rPr>
  </w:style>
  <w:style w:type="paragraph" w:customStyle="1" w:styleId="Default">
    <w:name w:val="Default"/>
    <w:rsid w:val="00CE1DBD"/>
    <w:pPr>
      <w:autoSpaceDE w:val="0"/>
      <w:autoSpaceDN w:val="0"/>
      <w:adjustRightInd w:val="0"/>
      <w:spacing w:after="0" w:line="240" w:lineRule="auto"/>
    </w:pPr>
    <w:rPr>
      <w:rFonts w:ascii="EUAlbertina" w:eastAsia="Times New Roman" w:hAnsi="EUAlbertina" w:cs="EUAlbertina"/>
      <w:color w:val="000000"/>
      <w:sz w:val="24"/>
      <w:szCs w:val="24"/>
      <w:lang w:eastAsia="fr-LU"/>
    </w:rPr>
  </w:style>
  <w:style w:type="character" w:styleId="Hyperlink">
    <w:name w:val="Hyperlink"/>
    <w:basedOn w:val="DefaultParagraphFont"/>
    <w:rsid w:val="007B7880"/>
    <w:rPr>
      <w:color w:val="0000FF"/>
      <w:u w:val="single"/>
    </w:rPr>
  </w:style>
  <w:style w:type="character" w:styleId="CommentReference">
    <w:name w:val="annotation reference"/>
    <w:basedOn w:val="DefaultParagraphFont"/>
    <w:uiPriority w:val="99"/>
    <w:semiHidden/>
    <w:unhideWhenUsed/>
    <w:rsid w:val="00C432F9"/>
    <w:rPr>
      <w:sz w:val="16"/>
      <w:szCs w:val="16"/>
    </w:rPr>
  </w:style>
  <w:style w:type="paragraph" w:styleId="CommentText">
    <w:name w:val="annotation text"/>
    <w:basedOn w:val="Normal"/>
    <w:link w:val="CommentTextChar"/>
    <w:uiPriority w:val="99"/>
    <w:semiHidden/>
    <w:unhideWhenUsed/>
    <w:rsid w:val="00C432F9"/>
    <w:pPr>
      <w:spacing w:line="240" w:lineRule="auto"/>
    </w:pPr>
    <w:rPr>
      <w:sz w:val="20"/>
      <w:szCs w:val="20"/>
    </w:rPr>
  </w:style>
  <w:style w:type="character" w:customStyle="1" w:styleId="CommentTextChar">
    <w:name w:val="Comment Text Char"/>
    <w:basedOn w:val="DefaultParagraphFont"/>
    <w:link w:val="CommentText"/>
    <w:uiPriority w:val="99"/>
    <w:semiHidden/>
    <w:rsid w:val="00C432F9"/>
    <w:rPr>
      <w:sz w:val="20"/>
      <w:szCs w:val="20"/>
    </w:rPr>
  </w:style>
  <w:style w:type="paragraph" w:styleId="CommentSubject">
    <w:name w:val="annotation subject"/>
    <w:basedOn w:val="CommentText"/>
    <w:next w:val="CommentText"/>
    <w:link w:val="CommentSubjectChar"/>
    <w:uiPriority w:val="99"/>
    <w:semiHidden/>
    <w:unhideWhenUsed/>
    <w:rsid w:val="00C432F9"/>
    <w:rPr>
      <w:b/>
      <w:bCs/>
    </w:rPr>
  </w:style>
  <w:style w:type="character" w:customStyle="1" w:styleId="CommentSubjectChar">
    <w:name w:val="Comment Subject Char"/>
    <w:basedOn w:val="CommentTextChar"/>
    <w:link w:val="CommentSubject"/>
    <w:uiPriority w:val="99"/>
    <w:semiHidden/>
    <w:rsid w:val="00C432F9"/>
    <w:rPr>
      <w:b/>
      <w:bCs/>
    </w:rPr>
  </w:style>
</w:styles>
</file>

<file path=word/webSettings.xml><?xml version="1.0" encoding="utf-8"?>
<w:webSettings xmlns:r="http://schemas.openxmlformats.org/officeDocument/2006/relationships" xmlns:w="http://schemas.openxmlformats.org/wordprocessingml/2006/main">
  <w:divs>
    <w:div w:id="141429396">
      <w:bodyDiv w:val="1"/>
      <w:marLeft w:val="0"/>
      <w:marRight w:val="0"/>
      <w:marTop w:val="0"/>
      <w:marBottom w:val="0"/>
      <w:divBdr>
        <w:top w:val="none" w:sz="0" w:space="0" w:color="auto"/>
        <w:left w:val="none" w:sz="0" w:space="0" w:color="auto"/>
        <w:bottom w:val="none" w:sz="0" w:space="0" w:color="auto"/>
        <w:right w:val="none" w:sz="0" w:space="0" w:color="auto"/>
      </w:divBdr>
    </w:div>
    <w:div w:id="212547269">
      <w:bodyDiv w:val="1"/>
      <w:marLeft w:val="0"/>
      <w:marRight w:val="0"/>
      <w:marTop w:val="0"/>
      <w:marBottom w:val="0"/>
      <w:divBdr>
        <w:top w:val="none" w:sz="0" w:space="0" w:color="auto"/>
        <w:left w:val="none" w:sz="0" w:space="0" w:color="auto"/>
        <w:bottom w:val="none" w:sz="0" w:space="0" w:color="auto"/>
        <w:right w:val="none" w:sz="0" w:space="0" w:color="auto"/>
      </w:divBdr>
    </w:div>
    <w:div w:id="234627692">
      <w:bodyDiv w:val="1"/>
      <w:marLeft w:val="0"/>
      <w:marRight w:val="0"/>
      <w:marTop w:val="0"/>
      <w:marBottom w:val="0"/>
      <w:divBdr>
        <w:top w:val="none" w:sz="0" w:space="0" w:color="auto"/>
        <w:left w:val="none" w:sz="0" w:space="0" w:color="auto"/>
        <w:bottom w:val="none" w:sz="0" w:space="0" w:color="auto"/>
        <w:right w:val="none" w:sz="0" w:space="0" w:color="auto"/>
      </w:divBdr>
    </w:div>
    <w:div w:id="306320048">
      <w:bodyDiv w:val="1"/>
      <w:marLeft w:val="0"/>
      <w:marRight w:val="0"/>
      <w:marTop w:val="0"/>
      <w:marBottom w:val="0"/>
      <w:divBdr>
        <w:top w:val="none" w:sz="0" w:space="0" w:color="auto"/>
        <w:left w:val="none" w:sz="0" w:space="0" w:color="auto"/>
        <w:bottom w:val="none" w:sz="0" w:space="0" w:color="auto"/>
        <w:right w:val="none" w:sz="0" w:space="0" w:color="auto"/>
      </w:divBdr>
    </w:div>
    <w:div w:id="334000783">
      <w:bodyDiv w:val="1"/>
      <w:marLeft w:val="0"/>
      <w:marRight w:val="0"/>
      <w:marTop w:val="0"/>
      <w:marBottom w:val="0"/>
      <w:divBdr>
        <w:top w:val="none" w:sz="0" w:space="0" w:color="auto"/>
        <w:left w:val="none" w:sz="0" w:space="0" w:color="auto"/>
        <w:bottom w:val="none" w:sz="0" w:space="0" w:color="auto"/>
        <w:right w:val="none" w:sz="0" w:space="0" w:color="auto"/>
      </w:divBdr>
    </w:div>
    <w:div w:id="417944687">
      <w:bodyDiv w:val="1"/>
      <w:marLeft w:val="0"/>
      <w:marRight w:val="0"/>
      <w:marTop w:val="0"/>
      <w:marBottom w:val="0"/>
      <w:divBdr>
        <w:top w:val="none" w:sz="0" w:space="0" w:color="auto"/>
        <w:left w:val="none" w:sz="0" w:space="0" w:color="auto"/>
        <w:bottom w:val="none" w:sz="0" w:space="0" w:color="auto"/>
        <w:right w:val="none" w:sz="0" w:space="0" w:color="auto"/>
      </w:divBdr>
    </w:div>
    <w:div w:id="465972903">
      <w:bodyDiv w:val="1"/>
      <w:marLeft w:val="0"/>
      <w:marRight w:val="0"/>
      <w:marTop w:val="0"/>
      <w:marBottom w:val="0"/>
      <w:divBdr>
        <w:top w:val="none" w:sz="0" w:space="0" w:color="auto"/>
        <w:left w:val="none" w:sz="0" w:space="0" w:color="auto"/>
        <w:bottom w:val="none" w:sz="0" w:space="0" w:color="auto"/>
        <w:right w:val="none" w:sz="0" w:space="0" w:color="auto"/>
      </w:divBdr>
    </w:div>
    <w:div w:id="488256780">
      <w:bodyDiv w:val="1"/>
      <w:marLeft w:val="0"/>
      <w:marRight w:val="0"/>
      <w:marTop w:val="0"/>
      <w:marBottom w:val="0"/>
      <w:divBdr>
        <w:top w:val="none" w:sz="0" w:space="0" w:color="auto"/>
        <w:left w:val="none" w:sz="0" w:space="0" w:color="auto"/>
        <w:bottom w:val="none" w:sz="0" w:space="0" w:color="auto"/>
        <w:right w:val="none" w:sz="0" w:space="0" w:color="auto"/>
      </w:divBdr>
    </w:div>
    <w:div w:id="617374569">
      <w:bodyDiv w:val="1"/>
      <w:marLeft w:val="0"/>
      <w:marRight w:val="0"/>
      <w:marTop w:val="0"/>
      <w:marBottom w:val="0"/>
      <w:divBdr>
        <w:top w:val="none" w:sz="0" w:space="0" w:color="auto"/>
        <w:left w:val="none" w:sz="0" w:space="0" w:color="auto"/>
        <w:bottom w:val="none" w:sz="0" w:space="0" w:color="auto"/>
        <w:right w:val="none" w:sz="0" w:space="0" w:color="auto"/>
      </w:divBdr>
    </w:div>
    <w:div w:id="668601892">
      <w:bodyDiv w:val="1"/>
      <w:marLeft w:val="0"/>
      <w:marRight w:val="0"/>
      <w:marTop w:val="0"/>
      <w:marBottom w:val="0"/>
      <w:divBdr>
        <w:top w:val="none" w:sz="0" w:space="0" w:color="auto"/>
        <w:left w:val="none" w:sz="0" w:space="0" w:color="auto"/>
        <w:bottom w:val="none" w:sz="0" w:space="0" w:color="auto"/>
        <w:right w:val="none" w:sz="0" w:space="0" w:color="auto"/>
      </w:divBdr>
    </w:div>
    <w:div w:id="686450011">
      <w:bodyDiv w:val="1"/>
      <w:marLeft w:val="0"/>
      <w:marRight w:val="0"/>
      <w:marTop w:val="0"/>
      <w:marBottom w:val="0"/>
      <w:divBdr>
        <w:top w:val="none" w:sz="0" w:space="0" w:color="auto"/>
        <w:left w:val="none" w:sz="0" w:space="0" w:color="auto"/>
        <w:bottom w:val="none" w:sz="0" w:space="0" w:color="auto"/>
        <w:right w:val="none" w:sz="0" w:space="0" w:color="auto"/>
      </w:divBdr>
    </w:div>
    <w:div w:id="702903250">
      <w:bodyDiv w:val="1"/>
      <w:marLeft w:val="0"/>
      <w:marRight w:val="0"/>
      <w:marTop w:val="0"/>
      <w:marBottom w:val="0"/>
      <w:divBdr>
        <w:top w:val="none" w:sz="0" w:space="0" w:color="auto"/>
        <w:left w:val="none" w:sz="0" w:space="0" w:color="auto"/>
        <w:bottom w:val="none" w:sz="0" w:space="0" w:color="auto"/>
        <w:right w:val="none" w:sz="0" w:space="0" w:color="auto"/>
      </w:divBdr>
    </w:div>
    <w:div w:id="743992724">
      <w:bodyDiv w:val="1"/>
      <w:marLeft w:val="0"/>
      <w:marRight w:val="0"/>
      <w:marTop w:val="0"/>
      <w:marBottom w:val="0"/>
      <w:divBdr>
        <w:top w:val="none" w:sz="0" w:space="0" w:color="auto"/>
        <w:left w:val="none" w:sz="0" w:space="0" w:color="auto"/>
        <w:bottom w:val="none" w:sz="0" w:space="0" w:color="auto"/>
        <w:right w:val="none" w:sz="0" w:space="0" w:color="auto"/>
      </w:divBdr>
    </w:div>
    <w:div w:id="782918811">
      <w:bodyDiv w:val="1"/>
      <w:marLeft w:val="0"/>
      <w:marRight w:val="0"/>
      <w:marTop w:val="0"/>
      <w:marBottom w:val="0"/>
      <w:divBdr>
        <w:top w:val="none" w:sz="0" w:space="0" w:color="auto"/>
        <w:left w:val="none" w:sz="0" w:space="0" w:color="auto"/>
        <w:bottom w:val="none" w:sz="0" w:space="0" w:color="auto"/>
        <w:right w:val="none" w:sz="0" w:space="0" w:color="auto"/>
      </w:divBdr>
    </w:div>
    <w:div w:id="899169368">
      <w:bodyDiv w:val="1"/>
      <w:marLeft w:val="0"/>
      <w:marRight w:val="0"/>
      <w:marTop w:val="0"/>
      <w:marBottom w:val="0"/>
      <w:divBdr>
        <w:top w:val="none" w:sz="0" w:space="0" w:color="auto"/>
        <w:left w:val="none" w:sz="0" w:space="0" w:color="auto"/>
        <w:bottom w:val="none" w:sz="0" w:space="0" w:color="auto"/>
        <w:right w:val="none" w:sz="0" w:space="0" w:color="auto"/>
      </w:divBdr>
    </w:div>
    <w:div w:id="1041829259">
      <w:bodyDiv w:val="1"/>
      <w:marLeft w:val="0"/>
      <w:marRight w:val="0"/>
      <w:marTop w:val="0"/>
      <w:marBottom w:val="0"/>
      <w:divBdr>
        <w:top w:val="none" w:sz="0" w:space="0" w:color="auto"/>
        <w:left w:val="none" w:sz="0" w:space="0" w:color="auto"/>
        <w:bottom w:val="none" w:sz="0" w:space="0" w:color="auto"/>
        <w:right w:val="none" w:sz="0" w:space="0" w:color="auto"/>
      </w:divBdr>
    </w:div>
    <w:div w:id="1080178565">
      <w:bodyDiv w:val="1"/>
      <w:marLeft w:val="0"/>
      <w:marRight w:val="0"/>
      <w:marTop w:val="0"/>
      <w:marBottom w:val="0"/>
      <w:divBdr>
        <w:top w:val="none" w:sz="0" w:space="0" w:color="auto"/>
        <w:left w:val="none" w:sz="0" w:space="0" w:color="auto"/>
        <w:bottom w:val="none" w:sz="0" w:space="0" w:color="auto"/>
        <w:right w:val="none" w:sz="0" w:space="0" w:color="auto"/>
      </w:divBdr>
    </w:div>
    <w:div w:id="1214854394">
      <w:bodyDiv w:val="1"/>
      <w:marLeft w:val="0"/>
      <w:marRight w:val="0"/>
      <w:marTop w:val="0"/>
      <w:marBottom w:val="0"/>
      <w:divBdr>
        <w:top w:val="none" w:sz="0" w:space="0" w:color="auto"/>
        <w:left w:val="none" w:sz="0" w:space="0" w:color="auto"/>
        <w:bottom w:val="none" w:sz="0" w:space="0" w:color="auto"/>
        <w:right w:val="none" w:sz="0" w:space="0" w:color="auto"/>
      </w:divBdr>
    </w:div>
    <w:div w:id="1227447359">
      <w:bodyDiv w:val="1"/>
      <w:marLeft w:val="0"/>
      <w:marRight w:val="0"/>
      <w:marTop w:val="0"/>
      <w:marBottom w:val="0"/>
      <w:divBdr>
        <w:top w:val="none" w:sz="0" w:space="0" w:color="auto"/>
        <w:left w:val="none" w:sz="0" w:space="0" w:color="auto"/>
        <w:bottom w:val="none" w:sz="0" w:space="0" w:color="auto"/>
        <w:right w:val="none" w:sz="0" w:space="0" w:color="auto"/>
      </w:divBdr>
    </w:div>
    <w:div w:id="1460732473">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1726683985">
      <w:bodyDiv w:val="1"/>
      <w:marLeft w:val="0"/>
      <w:marRight w:val="0"/>
      <w:marTop w:val="0"/>
      <w:marBottom w:val="0"/>
      <w:divBdr>
        <w:top w:val="none" w:sz="0" w:space="0" w:color="auto"/>
        <w:left w:val="none" w:sz="0" w:space="0" w:color="auto"/>
        <w:bottom w:val="none" w:sz="0" w:space="0" w:color="auto"/>
        <w:right w:val="none" w:sz="0" w:space="0" w:color="auto"/>
      </w:divBdr>
    </w:div>
    <w:div w:id="1796605739">
      <w:bodyDiv w:val="1"/>
      <w:marLeft w:val="0"/>
      <w:marRight w:val="0"/>
      <w:marTop w:val="0"/>
      <w:marBottom w:val="0"/>
      <w:divBdr>
        <w:top w:val="none" w:sz="0" w:space="0" w:color="auto"/>
        <w:left w:val="none" w:sz="0" w:space="0" w:color="auto"/>
        <w:bottom w:val="none" w:sz="0" w:space="0" w:color="auto"/>
        <w:right w:val="none" w:sz="0" w:space="0" w:color="auto"/>
      </w:divBdr>
    </w:div>
    <w:div w:id="1827866165">
      <w:bodyDiv w:val="1"/>
      <w:marLeft w:val="0"/>
      <w:marRight w:val="0"/>
      <w:marTop w:val="0"/>
      <w:marBottom w:val="0"/>
      <w:divBdr>
        <w:top w:val="none" w:sz="0" w:space="0" w:color="auto"/>
        <w:left w:val="none" w:sz="0" w:space="0" w:color="auto"/>
        <w:bottom w:val="none" w:sz="0" w:space="0" w:color="auto"/>
        <w:right w:val="none" w:sz="0" w:space="0" w:color="auto"/>
      </w:divBdr>
    </w:div>
    <w:div w:id="1857109620">
      <w:bodyDiv w:val="1"/>
      <w:marLeft w:val="0"/>
      <w:marRight w:val="0"/>
      <w:marTop w:val="0"/>
      <w:marBottom w:val="0"/>
      <w:divBdr>
        <w:top w:val="none" w:sz="0" w:space="0" w:color="auto"/>
        <w:left w:val="none" w:sz="0" w:space="0" w:color="auto"/>
        <w:bottom w:val="none" w:sz="0" w:space="0" w:color="auto"/>
        <w:right w:val="none" w:sz="0" w:space="0" w:color="auto"/>
      </w:divBdr>
    </w:div>
    <w:div w:id="1870800693">
      <w:bodyDiv w:val="1"/>
      <w:marLeft w:val="0"/>
      <w:marRight w:val="0"/>
      <w:marTop w:val="0"/>
      <w:marBottom w:val="0"/>
      <w:divBdr>
        <w:top w:val="none" w:sz="0" w:space="0" w:color="auto"/>
        <w:left w:val="none" w:sz="0" w:space="0" w:color="auto"/>
        <w:bottom w:val="none" w:sz="0" w:space="0" w:color="auto"/>
        <w:right w:val="none" w:sz="0" w:space="0" w:color="auto"/>
      </w:divBdr>
    </w:div>
    <w:div w:id="1968853061">
      <w:bodyDiv w:val="1"/>
      <w:marLeft w:val="0"/>
      <w:marRight w:val="0"/>
      <w:marTop w:val="0"/>
      <w:marBottom w:val="0"/>
      <w:divBdr>
        <w:top w:val="none" w:sz="0" w:space="0" w:color="auto"/>
        <w:left w:val="none" w:sz="0" w:space="0" w:color="auto"/>
        <w:bottom w:val="none" w:sz="0" w:space="0" w:color="auto"/>
        <w:right w:val="none" w:sz="0" w:space="0" w:color="auto"/>
      </w:divBdr>
    </w:div>
    <w:div w:id="19713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hcofile\data\ECO\ENQUETE%20%20WEF\2014-2015\6_PRESS%20RELEASE\Graphiques\ZLY_Graphiques%20WEF%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cofile\data\ECO\ENQUETE%20%20WEF\2014-2015\6_PRESS%20RELEASE\Graphiques\ZLY_Graphiques%20WEF%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cofile\data\ECO\ENQUETE%20%20WEF\2014-2015\6_PRESS%20RELEASE\Graphiques\ZLY_Graphiques%20WEF%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Base!$B$6</c:f>
              <c:strCache>
                <c:ptCount val="1"/>
              </c:strCache>
            </c:strRef>
          </c:tx>
          <c:marker>
            <c:symbol val="square"/>
            <c:size val="5"/>
            <c:spPr>
              <a:ln>
                <a:round/>
              </a:ln>
            </c:spPr>
          </c:marker>
          <c:dLbls>
            <c:numFmt formatCode="General" sourceLinked="0"/>
            <c:spPr>
              <a:ln w="3175"/>
            </c:spPr>
            <c:txPr>
              <a:bodyPr/>
              <a:lstStyle/>
              <a:p>
                <a:pPr>
                  <a:defRPr b="1"/>
                </a:pPr>
                <a:endParaRPr lang="en-US"/>
              </a:p>
            </c:txPr>
            <c:dLblPos val="t"/>
            <c:showVal val="1"/>
          </c:dLbls>
          <c:cat>
            <c:numRef>
              <c:f>Base!$G$5:$K$5</c:f>
              <c:numCache>
                <c:formatCode>General</c:formatCode>
                <c:ptCount val="5"/>
                <c:pt idx="0">
                  <c:v>2010</c:v>
                </c:pt>
                <c:pt idx="1">
                  <c:v>2011</c:v>
                </c:pt>
                <c:pt idx="2">
                  <c:v>2012</c:v>
                </c:pt>
                <c:pt idx="3">
                  <c:v>2013</c:v>
                </c:pt>
                <c:pt idx="4">
                  <c:v>2014</c:v>
                </c:pt>
              </c:numCache>
            </c:numRef>
          </c:cat>
          <c:val>
            <c:numRef>
              <c:f>Base!$G$6:$K$6</c:f>
              <c:numCache>
                <c:formatCode>General</c:formatCode>
                <c:ptCount val="5"/>
                <c:pt idx="0">
                  <c:v>10</c:v>
                </c:pt>
                <c:pt idx="1">
                  <c:v>6</c:v>
                </c:pt>
                <c:pt idx="2">
                  <c:v>8</c:v>
                </c:pt>
                <c:pt idx="3">
                  <c:v>11</c:v>
                </c:pt>
                <c:pt idx="4">
                  <c:v>7</c:v>
                </c:pt>
              </c:numCache>
            </c:numRef>
          </c:val>
        </c:ser>
        <c:marker val="1"/>
        <c:axId val="66270336"/>
        <c:axId val="66271872"/>
      </c:lineChart>
      <c:catAx>
        <c:axId val="66270336"/>
        <c:scaling>
          <c:orientation val="minMax"/>
        </c:scaling>
        <c:axPos val="t"/>
        <c:minorGridlines>
          <c:spPr>
            <a:ln>
              <a:prstDash val="sysDash"/>
            </a:ln>
          </c:spPr>
        </c:minorGridlines>
        <c:numFmt formatCode="General" sourceLinked="1"/>
        <c:tickLblPos val="nextTo"/>
        <c:crossAx val="66271872"/>
        <c:crosses val="autoZero"/>
        <c:auto val="1"/>
        <c:lblAlgn val="ctr"/>
        <c:lblOffset val="100"/>
      </c:catAx>
      <c:valAx>
        <c:axId val="66271872"/>
        <c:scaling>
          <c:orientation val="maxMin"/>
          <c:min val="2"/>
        </c:scaling>
        <c:delete val="1"/>
        <c:axPos val="l"/>
        <c:numFmt formatCode="General" sourceLinked="1"/>
        <c:tickLblPos val="none"/>
        <c:crossAx val="66270336"/>
        <c:crosses val="autoZero"/>
        <c:crossBetween val="between"/>
      </c:valAx>
    </c:plotArea>
    <c:plotVisOnly val="1"/>
  </c:chart>
  <c:txPr>
    <a:bodyPr/>
    <a:lstStyle/>
    <a:p>
      <a:pPr>
        <a:defRPr sz="900">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Efficacité!$B$6</c:f>
              <c:strCache>
                <c:ptCount val="1"/>
              </c:strCache>
            </c:strRef>
          </c:tx>
          <c:marker>
            <c:symbol val="square"/>
            <c:size val="5"/>
          </c:marker>
          <c:dLbls>
            <c:dLbl>
              <c:idx val="0"/>
              <c:layout>
                <c:manualLayout>
                  <c:x val="-3.5101398472547556E-2"/>
                  <c:y val="-8.2052874324495664E-2"/>
                </c:manualLayout>
              </c:layout>
              <c:showVal val="1"/>
            </c:dLbl>
            <c:dLbl>
              <c:idx val="1"/>
              <c:layout>
                <c:manualLayout>
                  <c:x val="-4.6969684517170519E-2"/>
                  <c:y val="-9.6237279408767182E-2"/>
                </c:manualLayout>
              </c:layout>
              <c:showVal val="1"/>
            </c:dLbl>
            <c:dLbl>
              <c:idx val="2"/>
              <c:layout>
                <c:manualLayout>
                  <c:x val="-4.9747594117661435E-2"/>
                  <c:y val="-9.3479138593364944E-2"/>
                </c:manualLayout>
              </c:layout>
              <c:showVal val="1"/>
            </c:dLbl>
            <c:dLbl>
              <c:idx val="3"/>
              <c:layout>
                <c:manualLayout>
                  <c:x val="-4.6212241519594487E-2"/>
                  <c:y val="-6.7573053874492583E-2"/>
                </c:manualLayout>
              </c:layout>
              <c:showVal val="1"/>
            </c:dLbl>
            <c:dLbl>
              <c:idx val="4"/>
              <c:layout>
                <c:manualLayout>
                  <c:x val="-4.7979785259475272E-2"/>
                  <c:y val="-7.7127423425154093E-2"/>
                </c:manualLayout>
              </c:layout>
              <c:showVal val="1"/>
            </c:dLbl>
            <c:dLbl>
              <c:idx val="5"/>
              <c:layout>
                <c:manualLayout>
                  <c:x val="-1.6666666666666701E-2"/>
                  <c:y val="-4.6296296296296523E-2"/>
                </c:manualLayout>
              </c:layout>
              <c:showVal val="1"/>
            </c:dLbl>
            <c:dLbl>
              <c:idx val="6"/>
              <c:layout>
                <c:manualLayout>
                  <c:x val="-3.8133679891955256E-2"/>
                  <c:y val="-5.9210526315789484E-2"/>
                </c:manualLayout>
              </c:layout>
              <c:showVal val="1"/>
            </c:dLbl>
            <c:dLbl>
              <c:idx val="7"/>
              <c:layout>
                <c:manualLayout>
                  <c:x val="-3.3656957928802592E-2"/>
                  <c:y val="-3.9473684210526355E-2"/>
                </c:manualLayout>
              </c:layout>
              <c:showVal val="1"/>
            </c:dLbl>
            <c:txPr>
              <a:bodyPr/>
              <a:lstStyle/>
              <a:p>
                <a:pPr>
                  <a:defRPr b="1"/>
                </a:pPr>
                <a:endParaRPr lang="en-US"/>
              </a:p>
            </c:txPr>
            <c:showVal val="1"/>
          </c:dLbls>
          <c:cat>
            <c:numRef>
              <c:f>Efficacité!$G$5:$K$5</c:f>
              <c:numCache>
                <c:formatCode>General</c:formatCode>
                <c:ptCount val="5"/>
                <c:pt idx="0">
                  <c:v>2010</c:v>
                </c:pt>
                <c:pt idx="1">
                  <c:v>2011</c:v>
                </c:pt>
                <c:pt idx="2">
                  <c:v>2012</c:v>
                </c:pt>
                <c:pt idx="3">
                  <c:v>2013</c:v>
                </c:pt>
                <c:pt idx="4">
                  <c:v>2014</c:v>
                </c:pt>
              </c:numCache>
            </c:numRef>
          </c:cat>
          <c:val>
            <c:numRef>
              <c:f>Efficacité!$G$6:$K$6</c:f>
              <c:numCache>
                <c:formatCode>General</c:formatCode>
                <c:ptCount val="5"/>
                <c:pt idx="0">
                  <c:v>20</c:v>
                </c:pt>
                <c:pt idx="1">
                  <c:v>23</c:v>
                </c:pt>
                <c:pt idx="2">
                  <c:v>24</c:v>
                </c:pt>
                <c:pt idx="3">
                  <c:v>22</c:v>
                </c:pt>
                <c:pt idx="4">
                  <c:v>22</c:v>
                </c:pt>
              </c:numCache>
            </c:numRef>
          </c:val>
        </c:ser>
        <c:marker val="1"/>
        <c:axId val="69261184"/>
        <c:axId val="69262720"/>
      </c:lineChart>
      <c:catAx>
        <c:axId val="69261184"/>
        <c:scaling>
          <c:orientation val="minMax"/>
        </c:scaling>
        <c:axPos val="t"/>
        <c:minorGridlines>
          <c:spPr>
            <a:ln>
              <a:prstDash val="sysDash"/>
            </a:ln>
          </c:spPr>
        </c:minorGridlines>
        <c:numFmt formatCode="General" sourceLinked="1"/>
        <c:tickLblPos val="nextTo"/>
        <c:crossAx val="69262720"/>
        <c:crosses val="autoZero"/>
        <c:auto val="1"/>
        <c:lblAlgn val="ctr"/>
        <c:lblOffset val="100"/>
      </c:catAx>
      <c:valAx>
        <c:axId val="69262720"/>
        <c:scaling>
          <c:orientation val="maxMin"/>
          <c:min val="2"/>
        </c:scaling>
        <c:delete val="1"/>
        <c:axPos val="l"/>
        <c:numFmt formatCode="General" sourceLinked="1"/>
        <c:tickLblPos val="none"/>
        <c:crossAx val="69261184"/>
        <c:crosses val="autoZero"/>
        <c:crossBetween val="between"/>
      </c:valAx>
    </c:plotArea>
    <c:plotVisOnly val="1"/>
  </c:chart>
  <c:txPr>
    <a:bodyPr/>
    <a:lstStyle/>
    <a:p>
      <a:pPr>
        <a:defRPr sz="900">
          <a:latin typeface="Arial" pitchFamily="34" charset="0"/>
          <a:cs typeface="Arial" pitchFamily="3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Innovation!$B$6</c:f>
              <c:strCache>
                <c:ptCount val="1"/>
              </c:strCache>
            </c:strRef>
          </c:tx>
          <c:marker>
            <c:symbol val="square"/>
            <c:size val="5"/>
          </c:marker>
          <c:dLbls>
            <c:dLbl>
              <c:idx val="0"/>
              <c:layout>
                <c:manualLayout>
                  <c:x val="-4.5263384630112723E-2"/>
                  <c:y val="-0.10597093381912118"/>
                </c:manualLayout>
              </c:layout>
              <c:showVal val="1"/>
            </c:dLbl>
            <c:dLbl>
              <c:idx val="1"/>
              <c:layout>
                <c:manualLayout>
                  <c:x val="-5.3140910577667046E-2"/>
                  <c:y val="-0.10597093381912118"/>
                </c:manualLayout>
              </c:layout>
              <c:showVal val="1"/>
            </c:dLbl>
            <c:dLbl>
              <c:idx val="2"/>
              <c:layout>
                <c:manualLayout>
                  <c:x val="-4.7813385028999032E-2"/>
                  <c:y val="-9.6902957301444326E-2"/>
                </c:manualLayout>
              </c:layout>
              <c:showVal val="1"/>
            </c:dLbl>
            <c:dLbl>
              <c:idx val="3"/>
              <c:layout>
                <c:manualLayout>
                  <c:x val="-6.0427127460131333E-2"/>
                  <c:y val="-0.10146880367005418"/>
                </c:manualLayout>
              </c:layout>
              <c:showVal val="1"/>
            </c:dLbl>
            <c:dLbl>
              <c:idx val="4"/>
              <c:layout>
                <c:manualLayout>
                  <c:x val="-5.2093913792690814E-2"/>
                  <c:y val="-0.12442619200013967"/>
                </c:manualLayout>
              </c:layout>
              <c:showVal val="1"/>
            </c:dLbl>
            <c:dLbl>
              <c:idx val="5"/>
              <c:layout>
                <c:manualLayout>
                  <c:x val="-1.6666666666666701E-2"/>
                  <c:y val="-4.6296296296296523E-2"/>
                </c:manualLayout>
              </c:layout>
              <c:showVal val="1"/>
            </c:dLbl>
            <c:dLbl>
              <c:idx val="6"/>
              <c:layout>
                <c:manualLayout>
                  <c:x val="-3.8133679891955256E-2"/>
                  <c:y val="-5.9210526315789484E-2"/>
                </c:manualLayout>
              </c:layout>
              <c:showVal val="1"/>
            </c:dLbl>
            <c:dLbl>
              <c:idx val="7"/>
              <c:layout>
                <c:manualLayout>
                  <c:x val="-3.3656957928802592E-2"/>
                  <c:y val="-3.9473684210526355E-2"/>
                </c:manualLayout>
              </c:layout>
              <c:showVal val="1"/>
            </c:dLbl>
            <c:txPr>
              <a:bodyPr/>
              <a:lstStyle/>
              <a:p>
                <a:pPr>
                  <a:defRPr b="1"/>
                </a:pPr>
                <a:endParaRPr lang="en-US"/>
              </a:p>
            </c:txPr>
            <c:showVal val="1"/>
          </c:dLbls>
          <c:cat>
            <c:numRef>
              <c:f>Innovation!$G$5:$K$5</c:f>
              <c:numCache>
                <c:formatCode>General</c:formatCode>
                <c:ptCount val="5"/>
                <c:pt idx="0">
                  <c:v>2010</c:v>
                </c:pt>
                <c:pt idx="1">
                  <c:v>2011</c:v>
                </c:pt>
                <c:pt idx="2">
                  <c:v>2012</c:v>
                </c:pt>
                <c:pt idx="3">
                  <c:v>2013</c:v>
                </c:pt>
                <c:pt idx="4">
                  <c:v>2014</c:v>
                </c:pt>
              </c:numCache>
            </c:numRef>
          </c:cat>
          <c:val>
            <c:numRef>
              <c:f>Innovation!$G$6:$K$6</c:f>
              <c:numCache>
                <c:formatCode>General</c:formatCode>
                <c:ptCount val="5"/>
                <c:pt idx="0">
                  <c:v>19</c:v>
                </c:pt>
                <c:pt idx="1">
                  <c:v>20</c:v>
                </c:pt>
                <c:pt idx="2">
                  <c:v>19</c:v>
                </c:pt>
                <c:pt idx="3">
                  <c:v>17</c:v>
                </c:pt>
                <c:pt idx="4">
                  <c:v>18</c:v>
                </c:pt>
              </c:numCache>
            </c:numRef>
          </c:val>
        </c:ser>
        <c:marker val="1"/>
        <c:axId val="70249856"/>
        <c:axId val="75825152"/>
      </c:lineChart>
      <c:catAx>
        <c:axId val="70249856"/>
        <c:scaling>
          <c:orientation val="minMax"/>
        </c:scaling>
        <c:axPos val="t"/>
        <c:minorGridlines>
          <c:spPr>
            <a:ln>
              <a:prstDash val="sysDash"/>
            </a:ln>
          </c:spPr>
        </c:minorGridlines>
        <c:numFmt formatCode="General" sourceLinked="1"/>
        <c:tickLblPos val="nextTo"/>
        <c:crossAx val="75825152"/>
        <c:crosses val="autoZero"/>
        <c:auto val="1"/>
        <c:lblAlgn val="ctr"/>
        <c:lblOffset val="100"/>
      </c:catAx>
      <c:valAx>
        <c:axId val="75825152"/>
        <c:scaling>
          <c:orientation val="maxMin"/>
          <c:min val="2"/>
        </c:scaling>
        <c:delete val="1"/>
        <c:axPos val="l"/>
        <c:numFmt formatCode="General" sourceLinked="1"/>
        <c:tickLblPos val="none"/>
        <c:crossAx val="70249856"/>
        <c:crosses val="autoZero"/>
        <c:crossBetween val="between"/>
      </c:valAx>
    </c:plotArea>
    <c:plotVisOnly val="1"/>
  </c:chart>
  <c:txPr>
    <a:bodyPr/>
    <a:lstStyle/>
    <a:p>
      <a:pPr>
        <a:defRPr sz="900">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34E5-55D1-4A47-B217-63C3F5FA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wmr</dc:creator>
  <cp:lastModifiedBy>ERNZER Patrick</cp:lastModifiedBy>
  <cp:revision>8</cp:revision>
  <cp:lastPrinted>2014-09-01T08:49:00Z</cp:lastPrinted>
  <dcterms:created xsi:type="dcterms:W3CDTF">2014-09-02T14:22:00Z</dcterms:created>
  <dcterms:modified xsi:type="dcterms:W3CDTF">2014-09-02T15:26:00Z</dcterms:modified>
</cp:coreProperties>
</file>