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7E" w:rsidRDefault="00E11679" w:rsidP="00E11679">
      <w:r>
        <w:rPr>
          <w:noProof/>
          <w:lang w:val="fr-BE" w:eastAsia="fr-BE"/>
        </w:rPr>
        <w:drawing>
          <wp:inline distT="0" distB="0" distL="0" distR="0">
            <wp:extent cx="1362869" cy="809625"/>
            <wp:effectExtent l="19050" t="0" r="8731" b="9525"/>
            <wp:docPr id="1" name="Picture 1" descr="Logo cdc 03 vect noir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dc 03 vect noir 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69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0000FF"/>
          <w:lang w:val="fr-BE" w:eastAsia="fr-BE"/>
        </w:rPr>
        <w:drawing>
          <wp:inline distT="0" distB="0" distL="0" distR="0">
            <wp:extent cx="1869141" cy="685800"/>
            <wp:effectExtent l="19050" t="0" r="0" b="0"/>
            <wp:docPr id="2" name="Picture 4" descr="Chambre des Métier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mbre des Métie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69" cy="68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79" w:rsidRDefault="00E11679" w:rsidP="00E11679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24"/>
          <w:szCs w:val="24"/>
        </w:rPr>
        <w:t>Communiqué de presse</w:t>
      </w:r>
    </w:p>
    <w:p w:rsidR="003215E0" w:rsidRDefault="003215E0" w:rsidP="00E11679">
      <w:pPr>
        <w:jc w:val="center"/>
        <w:rPr>
          <w:rFonts w:ascii="Arial" w:hAnsi="Arial" w:cs="Arial"/>
          <w:i/>
          <w:sz w:val="24"/>
          <w:szCs w:val="24"/>
        </w:rPr>
      </w:pPr>
    </w:p>
    <w:p w:rsidR="00A4701B" w:rsidRDefault="00E11679" w:rsidP="00A47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Relèvement du </w:t>
      </w:r>
      <w:r w:rsidR="00A4701B">
        <w:rPr>
          <w:rFonts w:ascii="Arial" w:hAnsi="Arial" w:cs="Arial"/>
          <w:b/>
          <w:sz w:val="24"/>
          <w:szCs w:val="24"/>
        </w:rPr>
        <w:t xml:space="preserve">SSM  et </w:t>
      </w:r>
      <w:r>
        <w:rPr>
          <w:rFonts w:ascii="Arial" w:hAnsi="Arial" w:cs="Arial"/>
          <w:b/>
          <w:sz w:val="24"/>
          <w:szCs w:val="24"/>
        </w:rPr>
        <w:t xml:space="preserve">du </w:t>
      </w:r>
      <w:r w:rsidR="00A4701B">
        <w:rPr>
          <w:rFonts w:ascii="Arial" w:hAnsi="Arial" w:cs="Arial"/>
          <w:b/>
          <w:sz w:val="24"/>
          <w:szCs w:val="24"/>
        </w:rPr>
        <w:t>RMG</w:t>
      </w:r>
      <w:r>
        <w:rPr>
          <w:rFonts w:ascii="Arial" w:hAnsi="Arial" w:cs="Arial"/>
          <w:b/>
          <w:sz w:val="24"/>
          <w:szCs w:val="24"/>
        </w:rPr>
        <w:t xml:space="preserve"> au </w:t>
      </w:r>
      <w:r w:rsidR="00BE3213">
        <w:rPr>
          <w:rFonts w:ascii="Arial" w:hAnsi="Arial" w:cs="Arial"/>
          <w:b/>
          <w:sz w:val="24"/>
          <w:szCs w:val="24"/>
        </w:rPr>
        <w:t>1</w:t>
      </w:r>
      <w:r w:rsidR="00BE3213" w:rsidRPr="00BE3213">
        <w:rPr>
          <w:rFonts w:ascii="Arial" w:hAnsi="Arial" w:cs="Arial"/>
          <w:b/>
          <w:sz w:val="24"/>
          <w:szCs w:val="24"/>
          <w:vertAlign w:val="superscript"/>
        </w:rPr>
        <w:t>ier</w:t>
      </w:r>
      <w:r w:rsidR="00BE32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janvier 2011 : </w:t>
      </w:r>
      <w:r w:rsidR="00A4701B">
        <w:rPr>
          <w:rFonts w:ascii="Arial" w:hAnsi="Arial" w:cs="Arial"/>
          <w:b/>
          <w:sz w:val="24"/>
          <w:szCs w:val="24"/>
        </w:rPr>
        <w:t>opposition</w:t>
      </w:r>
      <w:r w:rsidR="00FC41E9">
        <w:rPr>
          <w:rFonts w:ascii="Arial" w:hAnsi="Arial" w:cs="Arial"/>
          <w:b/>
          <w:sz w:val="24"/>
          <w:szCs w:val="24"/>
        </w:rPr>
        <w:t xml:space="preserve"> formelle</w:t>
      </w:r>
      <w:r w:rsidR="00A4701B">
        <w:rPr>
          <w:rFonts w:ascii="Arial" w:hAnsi="Arial" w:cs="Arial"/>
          <w:b/>
          <w:sz w:val="24"/>
          <w:szCs w:val="24"/>
        </w:rPr>
        <w:t xml:space="preserve"> des Chambres professionnelles contre les automatismes et la dévalorisation du travail</w:t>
      </w:r>
    </w:p>
    <w:p w:rsidR="00764684" w:rsidRDefault="00764684" w:rsidP="00764684">
      <w:pPr>
        <w:pStyle w:val="CDCNorm"/>
        <w:rPr>
          <w:b/>
          <w:sz w:val="24"/>
        </w:rPr>
      </w:pPr>
    </w:p>
    <w:p w:rsidR="00A80F09" w:rsidRPr="00764684" w:rsidRDefault="00B11C66" w:rsidP="00764684">
      <w:pPr>
        <w:pStyle w:val="CDCNorm"/>
        <w:rPr>
          <w:b/>
          <w:sz w:val="24"/>
        </w:rPr>
      </w:pPr>
      <w:r>
        <w:rPr>
          <w:b/>
          <w:i/>
          <w:sz w:val="24"/>
        </w:rPr>
        <w:t>« </w:t>
      </w:r>
      <w:r w:rsidR="0089548C">
        <w:rPr>
          <w:b/>
          <w:i/>
          <w:sz w:val="24"/>
        </w:rPr>
        <w:t>Alle Jahre wieder</w:t>
      </w:r>
      <w:r>
        <w:rPr>
          <w:b/>
          <w:i/>
          <w:sz w:val="24"/>
        </w:rPr>
        <w:t> »</w:t>
      </w:r>
      <w:r w:rsidR="0089548C">
        <w:rPr>
          <w:b/>
          <w:i/>
          <w:sz w:val="24"/>
        </w:rPr>
        <w:t xml:space="preserve">, </w:t>
      </w:r>
      <w:r w:rsidR="0089548C">
        <w:rPr>
          <w:b/>
          <w:sz w:val="24"/>
        </w:rPr>
        <w:t>ou en l’occurrence t</w:t>
      </w:r>
      <w:r w:rsidR="00C46036" w:rsidRPr="00764684">
        <w:rPr>
          <w:b/>
          <w:sz w:val="24"/>
        </w:rPr>
        <w:t>ous les deux ans,</w:t>
      </w:r>
      <w:r w:rsidR="00764684" w:rsidRPr="00764684">
        <w:rPr>
          <w:b/>
          <w:sz w:val="24"/>
        </w:rPr>
        <w:t xml:space="preserve"> il est mécaniquement procédé</w:t>
      </w:r>
      <w:r w:rsidR="00C46036" w:rsidRPr="00764684">
        <w:rPr>
          <w:b/>
          <w:sz w:val="24"/>
        </w:rPr>
        <w:t xml:space="preserve"> à un relèvement du salaire social minimum et du revenu minimum garanti, d’une part, et des pensions, d’autre</w:t>
      </w:r>
      <w:r w:rsidR="00764684" w:rsidRPr="00764684">
        <w:rPr>
          <w:b/>
          <w:sz w:val="24"/>
        </w:rPr>
        <w:t xml:space="preserve"> part. L’</w:t>
      </w:r>
      <w:r w:rsidR="00C46036" w:rsidRPr="00764684">
        <w:rPr>
          <w:b/>
          <w:sz w:val="24"/>
        </w:rPr>
        <w:t>objectif affiché</w:t>
      </w:r>
      <w:r w:rsidR="0089548C">
        <w:rPr>
          <w:b/>
          <w:sz w:val="24"/>
        </w:rPr>
        <w:t xml:space="preserve"> de ces mesures</w:t>
      </w:r>
      <w:r w:rsidR="00764684" w:rsidRPr="00764684">
        <w:rPr>
          <w:b/>
          <w:sz w:val="24"/>
        </w:rPr>
        <w:t xml:space="preserve"> est</w:t>
      </w:r>
      <w:r w:rsidR="00C46036" w:rsidRPr="00764684">
        <w:rPr>
          <w:b/>
          <w:sz w:val="24"/>
        </w:rPr>
        <w:t xml:space="preserve"> de répercuter</w:t>
      </w:r>
      <w:r w:rsidR="00C46036" w:rsidRPr="00764684">
        <w:rPr>
          <w:b/>
          <w:i/>
          <w:sz w:val="24"/>
        </w:rPr>
        <w:t xml:space="preserve"> </w:t>
      </w:r>
      <w:r w:rsidR="00C46036" w:rsidRPr="00764684">
        <w:rPr>
          <w:b/>
          <w:sz w:val="24"/>
        </w:rPr>
        <w:t>l’évolution des salaires réels</w:t>
      </w:r>
      <w:r w:rsidR="00016694" w:rsidRPr="00764684">
        <w:rPr>
          <w:b/>
          <w:sz w:val="24"/>
        </w:rPr>
        <w:t xml:space="preserve"> sur ces </w:t>
      </w:r>
      <w:r w:rsidR="004E0EB5" w:rsidRPr="00764684">
        <w:rPr>
          <w:b/>
          <w:sz w:val="24"/>
        </w:rPr>
        <w:t>paramètres</w:t>
      </w:r>
      <w:r w:rsidR="00C46036" w:rsidRPr="00764684">
        <w:rPr>
          <w:b/>
          <w:sz w:val="24"/>
        </w:rPr>
        <w:t xml:space="preserve">. Ainsi, au </w:t>
      </w:r>
      <w:r w:rsidR="002370BD">
        <w:rPr>
          <w:b/>
          <w:sz w:val="24"/>
        </w:rPr>
        <w:t>1</w:t>
      </w:r>
      <w:r w:rsidR="002370BD" w:rsidRPr="002370BD">
        <w:rPr>
          <w:b/>
          <w:sz w:val="24"/>
          <w:vertAlign w:val="superscript"/>
        </w:rPr>
        <w:t>ier</w:t>
      </w:r>
      <w:r w:rsidR="002370BD">
        <w:rPr>
          <w:b/>
          <w:sz w:val="24"/>
        </w:rPr>
        <w:t xml:space="preserve"> </w:t>
      </w:r>
      <w:r w:rsidR="00C46036" w:rsidRPr="00764684">
        <w:rPr>
          <w:b/>
          <w:sz w:val="24"/>
        </w:rPr>
        <w:t>janvier 2011, l’ensemble</w:t>
      </w:r>
      <w:r w:rsidR="0089548C">
        <w:rPr>
          <w:b/>
          <w:sz w:val="24"/>
        </w:rPr>
        <w:t xml:space="preserve"> de</w:t>
      </w:r>
      <w:r w:rsidR="00C46036" w:rsidRPr="00764684">
        <w:rPr>
          <w:b/>
          <w:sz w:val="24"/>
        </w:rPr>
        <w:t xml:space="preserve"> ces </w:t>
      </w:r>
      <w:r w:rsidR="00ED0307">
        <w:rPr>
          <w:b/>
          <w:sz w:val="24"/>
        </w:rPr>
        <w:t>montants</w:t>
      </w:r>
      <w:r w:rsidR="00ED0307" w:rsidRPr="00764684">
        <w:rPr>
          <w:b/>
          <w:sz w:val="24"/>
        </w:rPr>
        <w:t xml:space="preserve"> </w:t>
      </w:r>
      <w:r w:rsidR="00C46036" w:rsidRPr="00764684">
        <w:rPr>
          <w:b/>
          <w:sz w:val="24"/>
        </w:rPr>
        <w:t>augment</w:t>
      </w:r>
      <w:r w:rsidR="00ED0307">
        <w:rPr>
          <w:b/>
          <w:sz w:val="24"/>
        </w:rPr>
        <w:t>era</w:t>
      </w:r>
      <w:r w:rsidR="00C46036" w:rsidRPr="00764684">
        <w:rPr>
          <w:b/>
          <w:sz w:val="24"/>
        </w:rPr>
        <w:t xml:space="preserve"> </w:t>
      </w:r>
      <w:r w:rsidR="0089548C">
        <w:rPr>
          <w:b/>
          <w:sz w:val="24"/>
        </w:rPr>
        <w:t xml:space="preserve">linéairement </w:t>
      </w:r>
      <w:r w:rsidR="00C46036" w:rsidRPr="00764684">
        <w:rPr>
          <w:b/>
          <w:sz w:val="24"/>
        </w:rPr>
        <w:t>de 1,9%</w:t>
      </w:r>
      <w:r w:rsidR="002370BD">
        <w:rPr>
          <w:b/>
          <w:sz w:val="24"/>
        </w:rPr>
        <w:t xml:space="preserve"> - </w:t>
      </w:r>
      <w:r w:rsidR="00A62FBD">
        <w:rPr>
          <w:b/>
          <w:sz w:val="24"/>
        </w:rPr>
        <w:t xml:space="preserve">mis </w:t>
      </w:r>
      <w:r w:rsidR="002370BD">
        <w:rPr>
          <w:b/>
          <w:sz w:val="24"/>
        </w:rPr>
        <w:t>à part l’ajustement des pensions qui sera échelonné sur deux exercices, à savoir le 1</w:t>
      </w:r>
      <w:r w:rsidR="002370BD" w:rsidRPr="002370BD">
        <w:rPr>
          <w:b/>
          <w:sz w:val="24"/>
          <w:vertAlign w:val="superscript"/>
        </w:rPr>
        <w:t>ier</w:t>
      </w:r>
      <w:r w:rsidR="002370BD">
        <w:rPr>
          <w:b/>
          <w:sz w:val="24"/>
        </w:rPr>
        <w:t xml:space="preserve"> janvier 2011 respectivement le 1</w:t>
      </w:r>
      <w:r w:rsidR="002370BD" w:rsidRPr="002370BD">
        <w:rPr>
          <w:b/>
          <w:sz w:val="24"/>
          <w:vertAlign w:val="superscript"/>
        </w:rPr>
        <w:t>ier</w:t>
      </w:r>
      <w:r w:rsidR="002370BD">
        <w:rPr>
          <w:b/>
          <w:sz w:val="24"/>
        </w:rPr>
        <w:t xml:space="preserve"> janvier 2012 -</w:t>
      </w:r>
      <w:r w:rsidR="00C46036" w:rsidRPr="00764684">
        <w:rPr>
          <w:b/>
          <w:sz w:val="24"/>
        </w:rPr>
        <w:t xml:space="preserve"> et ce au-delà de la tranche indiciaire</w:t>
      </w:r>
      <w:r w:rsidR="004E0EB5" w:rsidRPr="00764684">
        <w:rPr>
          <w:b/>
          <w:sz w:val="24"/>
        </w:rPr>
        <w:t xml:space="preserve"> de 2,5%</w:t>
      </w:r>
      <w:r w:rsidR="00C46036" w:rsidRPr="00764684">
        <w:rPr>
          <w:b/>
          <w:sz w:val="24"/>
        </w:rPr>
        <w:t xml:space="preserve"> appliquée au</w:t>
      </w:r>
      <w:r w:rsidR="00BE3213">
        <w:rPr>
          <w:b/>
          <w:sz w:val="24"/>
        </w:rPr>
        <w:t xml:space="preserve"> 1</w:t>
      </w:r>
      <w:r w:rsidR="00BE3213" w:rsidRPr="00BE3213">
        <w:rPr>
          <w:b/>
          <w:sz w:val="24"/>
          <w:vertAlign w:val="superscript"/>
        </w:rPr>
        <w:t>ier</w:t>
      </w:r>
      <w:r w:rsidR="00BE3213">
        <w:rPr>
          <w:b/>
          <w:sz w:val="24"/>
        </w:rPr>
        <w:t xml:space="preserve"> </w:t>
      </w:r>
      <w:r w:rsidR="00A80F09" w:rsidRPr="00764684">
        <w:rPr>
          <w:b/>
          <w:sz w:val="24"/>
        </w:rPr>
        <w:t>juillet</w:t>
      </w:r>
      <w:r w:rsidR="00C46036" w:rsidRPr="00764684">
        <w:rPr>
          <w:b/>
          <w:sz w:val="24"/>
        </w:rPr>
        <w:t xml:space="preserve"> 2010. </w:t>
      </w:r>
    </w:p>
    <w:p w:rsidR="00764684" w:rsidRPr="00764684" w:rsidRDefault="00764684" w:rsidP="00764684">
      <w:pPr>
        <w:pStyle w:val="CDCNorm"/>
        <w:rPr>
          <w:b/>
          <w:sz w:val="24"/>
        </w:rPr>
      </w:pPr>
    </w:p>
    <w:p w:rsidR="005729F2" w:rsidRPr="00764684" w:rsidRDefault="00C46036" w:rsidP="00764684">
      <w:pPr>
        <w:pStyle w:val="CDCNorm"/>
        <w:rPr>
          <w:b/>
          <w:sz w:val="24"/>
        </w:rPr>
      </w:pPr>
      <w:r w:rsidRPr="00764684">
        <w:rPr>
          <w:b/>
          <w:sz w:val="24"/>
        </w:rPr>
        <w:t>La Chambre de Commerce et la Chambre des Métiers regrettent profondément l’ensemble de ces automatismes</w:t>
      </w:r>
      <w:r w:rsidR="002370BD">
        <w:rPr>
          <w:b/>
          <w:sz w:val="24"/>
        </w:rPr>
        <w:t xml:space="preserve">. </w:t>
      </w:r>
      <w:r w:rsidR="00A62FBD">
        <w:rPr>
          <w:b/>
          <w:sz w:val="24"/>
        </w:rPr>
        <w:t>Ainsi, a</w:t>
      </w:r>
      <w:r w:rsidR="002370BD">
        <w:rPr>
          <w:b/>
          <w:sz w:val="24"/>
        </w:rPr>
        <w:t>u l</w:t>
      </w:r>
      <w:r w:rsidRPr="00764684">
        <w:rPr>
          <w:b/>
          <w:sz w:val="24"/>
        </w:rPr>
        <w:t xml:space="preserve">ieu de </w:t>
      </w:r>
      <w:r w:rsidR="00B37F67">
        <w:rPr>
          <w:b/>
          <w:sz w:val="24"/>
        </w:rPr>
        <w:t>considérer chaque mesure</w:t>
      </w:r>
      <w:r w:rsidRPr="00764684">
        <w:rPr>
          <w:b/>
          <w:sz w:val="24"/>
        </w:rPr>
        <w:t xml:space="preserve"> au cas par cas, </w:t>
      </w:r>
      <w:r w:rsidR="00764684" w:rsidRPr="00764684">
        <w:rPr>
          <w:b/>
          <w:sz w:val="24"/>
        </w:rPr>
        <w:t xml:space="preserve">en tenant </w:t>
      </w:r>
      <w:r w:rsidR="0089548C">
        <w:rPr>
          <w:b/>
          <w:sz w:val="24"/>
        </w:rPr>
        <w:t xml:space="preserve">dûment </w:t>
      </w:r>
      <w:r w:rsidR="00764684" w:rsidRPr="00764684">
        <w:rPr>
          <w:b/>
          <w:sz w:val="24"/>
        </w:rPr>
        <w:t xml:space="preserve">compte de la situation économique du pays et de la </w:t>
      </w:r>
      <w:r w:rsidR="0089548C">
        <w:rPr>
          <w:b/>
          <w:sz w:val="24"/>
        </w:rPr>
        <w:t>situation compétitive</w:t>
      </w:r>
      <w:r w:rsidR="00764684" w:rsidRPr="00764684">
        <w:rPr>
          <w:b/>
          <w:sz w:val="24"/>
        </w:rPr>
        <w:t xml:space="preserve"> des entreprises, </w:t>
      </w:r>
      <w:r w:rsidRPr="00764684">
        <w:rPr>
          <w:b/>
          <w:sz w:val="24"/>
        </w:rPr>
        <w:t xml:space="preserve">suite à une discussion ouverte et transparente et après prise en compte de l’ensemble des implications sociales et financières, </w:t>
      </w:r>
      <w:r w:rsidR="00B37F67">
        <w:rPr>
          <w:b/>
          <w:sz w:val="24"/>
        </w:rPr>
        <w:t>les relèvements</w:t>
      </w:r>
      <w:r w:rsidR="00A62FBD">
        <w:rPr>
          <w:b/>
          <w:sz w:val="24"/>
        </w:rPr>
        <w:t xml:space="preserve"> en question </w:t>
      </w:r>
      <w:r w:rsidRPr="00764684">
        <w:rPr>
          <w:b/>
          <w:sz w:val="24"/>
        </w:rPr>
        <w:t>continueront de s’</w:t>
      </w:r>
      <w:r w:rsidR="00016694" w:rsidRPr="00764684">
        <w:rPr>
          <w:b/>
          <w:sz w:val="24"/>
        </w:rPr>
        <w:t>ap</w:t>
      </w:r>
      <w:r w:rsidR="00A80F09" w:rsidRPr="00764684">
        <w:rPr>
          <w:b/>
          <w:sz w:val="24"/>
        </w:rPr>
        <w:t>pliquer de façon automatique</w:t>
      </w:r>
      <w:r w:rsidR="00764684" w:rsidRPr="00764684">
        <w:rPr>
          <w:b/>
          <w:sz w:val="24"/>
        </w:rPr>
        <w:t xml:space="preserve">, </w:t>
      </w:r>
      <w:r w:rsidR="0089548C">
        <w:rPr>
          <w:b/>
          <w:sz w:val="24"/>
        </w:rPr>
        <w:t>voire</w:t>
      </w:r>
      <w:r w:rsidR="004E0EB5" w:rsidRPr="00764684">
        <w:rPr>
          <w:b/>
          <w:sz w:val="24"/>
        </w:rPr>
        <w:t xml:space="preserve"> myope, sans prise en compte aucune des effets à court et à long terme sur les finances publiques, sur la compétitivité et sur la motivation au travail.</w:t>
      </w:r>
    </w:p>
    <w:p w:rsidR="00764684" w:rsidRPr="00764684" w:rsidRDefault="00764684" w:rsidP="00764684">
      <w:pPr>
        <w:pStyle w:val="CDCNorm"/>
        <w:rPr>
          <w:b/>
        </w:rPr>
      </w:pPr>
    </w:p>
    <w:p w:rsidR="00016694" w:rsidRDefault="00A80F09" w:rsidP="00C46036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Quant au fond : une dévalorisation du travail et une pérennisation des automatismes réglementaires</w:t>
      </w:r>
    </w:p>
    <w:p w:rsidR="006732F5" w:rsidRDefault="006732F5" w:rsidP="006732F5">
      <w:pPr>
        <w:pStyle w:val="CDCNorm"/>
      </w:pPr>
      <w:r w:rsidRPr="006732F5">
        <w:t xml:space="preserve">Une comparaison entre les seuils du RMG et ceux du salaire social minimum démontre le problème fondamental des disparités et décalages </w:t>
      </w:r>
      <w:r w:rsidR="005C4C74">
        <w:t>entre ces</w:t>
      </w:r>
      <w:r w:rsidRPr="006732F5">
        <w:t xml:space="preserve"> </w:t>
      </w:r>
      <w:r w:rsidR="00B11C66">
        <w:t xml:space="preserve">deux </w:t>
      </w:r>
      <w:r w:rsidR="00BE3213">
        <w:t>montants</w:t>
      </w:r>
      <w:r w:rsidRPr="006732F5">
        <w:t>. Ainsi</w:t>
      </w:r>
      <w:r w:rsidR="00B37F67">
        <w:t>, les deux chambres professionnelles</w:t>
      </w:r>
      <w:r w:rsidRPr="006732F5">
        <w:t xml:space="preserve"> attirent-elles l'attention sur le fait que le bénéficiaire du RMG vivant en communauté domest</w:t>
      </w:r>
      <w:r>
        <w:t>ique aura droit</w:t>
      </w:r>
      <w:r w:rsidR="00BE3213">
        <w:t>,</w:t>
      </w:r>
      <w:r w:rsidR="00B37F67">
        <w:t xml:space="preserve"> à partir du 1</w:t>
      </w:r>
      <w:r w:rsidR="00B37F67" w:rsidRPr="00B37F67">
        <w:rPr>
          <w:vertAlign w:val="superscript"/>
        </w:rPr>
        <w:t>ier</w:t>
      </w:r>
      <w:r w:rsidR="00B37F67">
        <w:t xml:space="preserve"> janvier 2011</w:t>
      </w:r>
      <w:r w:rsidR="00DC5753">
        <w:t>,</w:t>
      </w:r>
      <w:r w:rsidR="00B37F67">
        <w:t xml:space="preserve"> </w:t>
      </w:r>
      <w:r>
        <w:t xml:space="preserve">à </w:t>
      </w:r>
      <w:r w:rsidRPr="006732F5">
        <w:t>1.877,91 EUR</w:t>
      </w:r>
      <w:r w:rsidR="00B37F67">
        <w:t xml:space="preserve"> par mois</w:t>
      </w:r>
      <w:r w:rsidRPr="006732F5">
        <w:t xml:space="preserve"> (indice 719,84)</w:t>
      </w:r>
      <w:r w:rsidR="00C118BC">
        <w:rPr>
          <w:rStyle w:val="FootnoteReference"/>
        </w:rPr>
        <w:footnoteReference w:id="1"/>
      </w:r>
      <w:r w:rsidRPr="006732F5">
        <w:t xml:space="preserve">, et que, par contre un travailleur non-qualifié touchera un salaire social minimum </w:t>
      </w:r>
      <w:r w:rsidR="00B11C66">
        <w:t xml:space="preserve">mensuel </w:t>
      </w:r>
      <w:r w:rsidRPr="006732F5">
        <w:t xml:space="preserve">de </w:t>
      </w:r>
      <w:r w:rsidR="00B37F67">
        <w:t>1.757,56 EUR</w:t>
      </w:r>
      <w:r w:rsidRPr="006732F5">
        <w:t xml:space="preserve"> </w:t>
      </w:r>
      <w:r>
        <w:t xml:space="preserve">(indice </w:t>
      </w:r>
      <w:r w:rsidR="00B37F67">
        <w:t>719,84</w:t>
      </w:r>
      <w:r>
        <w:t xml:space="preserve">) à partir </w:t>
      </w:r>
      <w:r w:rsidR="00DC5753">
        <w:t>de cette même date</w:t>
      </w:r>
      <w:r w:rsidRPr="006732F5">
        <w:t>. Cette comparaison ne tient pas compte, dans le chef du bénéficiaire du RMG, du droit à d’autres transferts sociaux et notamment l’allocation de vie chère. Or, c</w:t>
      </w:r>
      <w:r w:rsidR="00764684">
        <w:t>omment justifier qu’une communauté domestique dont un membre</w:t>
      </w:r>
      <w:r w:rsidR="00B11C66">
        <w:t xml:space="preserve"> </w:t>
      </w:r>
      <w:r w:rsidRPr="006732F5">
        <w:t>travaille gagne, sous certaines hypothèses, moins qu’une personne</w:t>
      </w:r>
      <w:r w:rsidR="00DC5753">
        <w:t xml:space="preserve"> </w:t>
      </w:r>
      <w:r w:rsidRPr="006732F5">
        <w:t xml:space="preserve">qui bénéficie du RMG et qui ne travaille donc pas ? </w:t>
      </w:r>
    </w:p>
    <w:p w:rsidR="006732F5" w:rsidRDefault="006732F5" w:rsidP="006732F5">
      <w:pPr>
        <w:pStyle w:val="CDCNorm"/>
      </w:pPr>
    </w:p>
    <w:p w:rsidR="00A80F09" w:rsidRDefault="006732F5" w:rsidP="006732F5">
      <w:pPr>
        <w:pStyle w:val="CDCNorm"/>
      </w:pPr>
      <w:r w:rsidRPr="006732F5">
        <w:t>Aux yeux de la Chambre de Commerce et de la Chambre des Métiers, une telle situation porte gravement préjudice à la motivation au travail et, partant, est très peu incitatrice quant à la réintégration des bén</w:t>
      </w:r>
      <w:r w:rsidR="00764684">
        <w:t xml:space="preserve">éficiaires au marché du travail, mettant à mal la cohésion sociale alors que </w:t>
      </w:r>
      <w:r w:rsidR="00764684">
        <w:lastRenderedPageBreak/>
        <w:t xml:space="preserve">l’inactivité au sens large </w:t>
      </w:r>
      <w:r w:rsidR="005C4C74">
        <w:t>représentera le</w:t>
      </w:r>
      <w:r w:rsidR="00B11C66">
        <w:t xml:space="preserve"> coût</w:t>
      </w:r>
      <w:r w:rsidR="005C4C74">
        <w:t xml:space="preserve"> </w:t>
      </w:r>
      <w:r w:rsidR="00ED0307">
        <w:t xml:space="preserve">considérable </w:t>
      </w:r>
      <w:r w:rsidR="00B11C66">
        <w:t>de</w:t>
      </w:r>
      <w:r w:rsidR="00764684">
        <w:t xml:space="preserve"> quelque 740 millions EUR à</w:t>
      </w:r>
      <w:r w:rsidR="00B11C66">
        <w:t xml:space="preserve"> charge du budget de</w:t>
      </w:r>
      <w:r w:rsidR="00764684">
        <w:t xml:space="preserve"> l’Etat en 2011, soit 2,1 millions EUR par jour</w:t>
      </w:r>
      <w:r w:rsidR="00764684">
        <w:rPr>
          <w:rStyle w:val="FootnoteReference"/>
        </w:rPr>
        <w:footnoteReference w:id="2"/>
      </w:r>
      <w:r w:rsidR="00764684">
        <w:t>.</w:t>
      </w:r>
      <w:r>
        <w:t xml:space="preserve"> De surcro</w:t>
      </w:r>
      <w:r w:rsidR="00967C5F">
        <w:t>î</w:t>
      </w:r>
      <w:r>
        <w:t xml:space="preserve">t, les chambres professionnelles estiment que </w:t>
      </w:r>
      <w:r w:rsidR="00C118BC">
        <w:t>la faible différence entre le RMG et le SSM est profondément dévalorisant</w:t>
      </w:r>
      <w:r w:rsidR="00764684">
        <w:t>e</w:t>
      </w:r>
      <w:r w:rsidR="00C118BC">
        <w:t xml:space="preserve"> dans le chef d’un travailleur rémunéré au SSM non-qualifié</w:t>
      </w:r>
      <w:r w:rsidR="00ED0307">
        <w:t xml:space="preserve"> ou qualifié</w:t>
      </w:r>
      <w:r w:rsidR="00C118BC">
        <w:t>, niveau</w:t>
      </w:r>
      <w:r w:rsidR="00764684">
        <w:t xml:space="preserve"> absolu</w:t>
      </w:r>
      <w:r w:rsidR="00C118BC">
        <w:t xml:space="preserve"> de salaire</w:t>
      </w:r>
      <w:r w:rsidR="005C4C74">
        <w:t xml:space="preserve"> minium </w:t>
      </w:r>
      <w:r w:rsidR="00B11C66">
        <w:t>pourtant</w:t>
      </w:r>
      <w:r w:rsidR="005C4C74">
        <w:t xml:space="preserve"> généreux, voire le niveau</w:t>
      </w:r>
      <w:r w:rsidR="00764684">
        <w:t xml:space="preserve"> </w:t>
      </w:r>
      <w:r w:rsidR="005C4C74">
        <w:t xml:space="preserve">le </w:t>
      </w:r>
      <w:r w:rsidR="00764684">
        <w:t>plus</w:t>
      </w:r>
      <w:r w:rsidR="00C118BC">
        <w:t xml:space="preserve"> </w:t>
      </w:r>
      <w:r w:rsidR="00764684">
        <w:t xml:space="preserve">élevé </w:t>
      </w:r>
      <w:r w:rsidR="0089548C">
        <w:t>dans la zone de l’OCDE</w:t>
      </w:r>
      <w:r w:rsidR="00764684">
        <w:rPr>
          <w:rStyle w:val="FootnoteReference"/>
        </w:rPr>
        <w:footnoteReference w:id="3"/>
      </w:r>
      <w:r w:rsidR="00764684">
        <w:t>.</w:t>
      </w:r>
    </w:p>
    <w:p w:rsidR="00C118BC" w:rsidRDefault="00C118BC" w:rsidP="006732F5">
      <w:pPr>
        <w:pStyle w:val="CDCNorm"/>
      </w:pPr>
    </w:p>
    <w:p w:rsidR="004E0EB5" w:rsidRDefault="004E0EB5" w:rsidP="004E0EB5">
      <w:pPr>
        <w:pStyle w:val="CDCNorm"/>
      </w:pPr>
      <w:r>
        <w:t xml:space="preserve">Les instruments pour lutter contre la pauvreté devront </w:t>
      </w:r>
      <w:r w:rsidR="0089548C">
        <w:t xml:space="preserve">par ailleurs </w:t>
      </w:r>
      <w:r>
        <w:t xml:space="preserve">être redéfinis, et le relèvement du SSM et du RMG ne constituent guère des outils efficaces à cet égard, d’autant plus qu’ils donnent lieu à des renégociations salariales dans le chef des personnes rétribuées au voisinage du SSM, possibles hausses qui, à leur tour, alimentent de nouvelles spirales salariales inflationnistes et dégradent encore davantage la compétitivité-coût et prix du Luxembourg dans une perspective internationale. </w:t>
      </w:r>
      <w:r w:rsidR="00ED0307">
        <w:t>Même si</w:t>
      </w:r>
      <w:r>
        <w:t xml:space="preserve"> les relèvements du RMG et du SSM </w:t>
      </w:r>
      <w:r w:rsidR="00ED0307">
        <w:t>sont présentés comme</w:t>
      </w:r>
      <w:r>
        <w:t xml:space="preserve"> des réponses efficaces afin de lutter contre la pauvreté, </w:t>
      </w:r>
      <w:r w:rsidR="00ED0307">
        <w:t xml:space="preserve">ils </w:t>
      </w:r>
      <w:r w:rsidR="002370BD">
        <w:t xml:space="preserve">aboutiront </w:t>
      </w:r>
      <w:r w:rsidR="00ED0307">
        <w:t xml:space="preserve">à </w:t>
      </w:r>
      <w:r>
        <w:t xml:space="preserve">une recrudescence de tensions salariales inflationnistes et néfastes pour </w:t>
      </w:r>
      <w:r w:rsidR="003577FB">
        <w:t>l’économie nationale</w:t>
      </w:r>
      <w:r>
        <w:t>.</w:t>
      </w:r>
    </w:p>
    <w:p w:rsidR="004E0EB5" w:rsidRDefault="004E0EB5" w:rsidP="004E0EB5">
      <w:pPr>
        <w:pStyle w:val="CDCNorm"/>
      </w:pPr>
    </w:p>
    <w:p w:rsidR="00C118BC" w:rsidRDefault="00B11C66" w:rsidP="004E0EB5">
      <w:pPr>
        <w:pStyle w:val="CDCNorm"/>
      </w:pPr>
      <w:r>
        <w:t xml:space="preserve">Au-delà des pistes évoquées </w:t>
      </w:r>
      <w:r w:rsidR="005C4C74">
        <w:t xml:space="preserve">notamment </w:t>
      </w:r>
      <w:r>
        <w:t>dans les avis officiels des chambres professionnelles au sujet du relèvement du RMG, du SSM et des pensions</w:t>
      </w:r>
      <w:r>
        <w:rPr>
          <w:rStyle w:val="FootnoteReference"/>
        </w:rPr>
        <w:footnoteReference w:id="4"/>
      </w:r>
      <w:r>
        <w:t>, l</w:t>
      </w:r>
      <w:r w:rsidR="004E0EB5">
        <w:t xml:space="preserve">a Chambre de Commerce et la Chambre des Métiers </w:t>
      </w:r>
      <w:r w:rsidR="0089548C">
        <w:t>interpellent les</w:t>
      </w:r>
      <w:r w:rsidR="004E0EB5">
        <w:t xml:space="preserve"> autorités publiques de proposer des réponses volontaristes par rapport aux critiques récurrentes de l’OCDE relatives au nécessaire renforcement des incitations à la recherche d’emploi. A l’heure actuelle, la générosité des prestations sociales en général avec, le cas échéant, un RMG supérieur au SSM non-qualifié et le faible écart du RMG par rapport au SSM, en particulier, n’incitent en effet guère les bénéficiaires de reprendre un travail rémunéré au voisinage du SSM.</w:t>
      </w:r>
    </w:p>
    <w:p w:rsidR="006732F5" w:rsidRDefault="006732F5" w:rsidP="006732F5">
      <w:pPr>
        <w:pStyle w:val="CDCNorm"/>
      </w:pPr>
    </w:p>
    <w:p w:rsidR="005729F2" w:rsidRDefault="005729F2" w:rsidP="00A4701B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Quant à la forme</w:t>
      </w:r>
      <w:r w:rsidR="00444034">
        <w:rPr>
          <w:rFonts w:ascii="Arial" w:hAnsi="Arial" w:cs="Arial"/>
          <w:i/>
          <w:sz w:val="24"/>
          <w:szCs w:val="24"/>
          <w:u w:val="single"/>
        </w:rPr>
        <w:t> : la critique de la méthode de consultation</w:t>
      </w:r>
      <w:r>
        <w:rPr>
          <w:rFonts w:ascii="Arial" w:hAnsi="Arial" w:cs="Arial"/>
          <w:i/>
          <w:sz w:val="24"/>
          <w:szCs w:val="24"/>
          <w:u w:val="single"/>
        </w:rPr>
        <w:t>…</w:t>
      </w:r>
    </w:p>
    <w:p w:rsidR="007C09A6" w:rsidRDefault="000B2D58" w:rsidP="005729F2">
      <w:pPr>
        <w:pStyle w:val="CDCNorm"/>
        <w:rPr>
          <w:rFonts w:cs="Arial"/>
          <w:bCs/>
          <w:i/>
          <w:szCs w:val="22"/>
          <w:lang w:val="fr-FR"/>
        </w:rPr>
      </w:pPr>
      <w:r>
        <w:rPr>
          <w:rFonts w:cs="Arial"/>
          <w:bCs/>
          <w:szCs w:val="22"/>
          <w:lang w:val="fr-FR"/>
        </w:rPr>
        <w:t>Par ailleurs</w:t>
      </w:r>
      <w:r w:rsidR="007C09A6" w:rsidRPr="00F502E9">
        <w:rPr>
          <w:rFonts w:cs="Arial"/>
          <w:bCs/>
          <w:szCs w:val="22"/>
          <w:lang w:val="fr-FR"/>
        </w:rPr>
        <w:t xml:space="preserve">, la Chambre de Commerce et la Chambre des Métiers </w:t>
      </w:r>
      <w:r w:rsidR="00ED0307">
        <w:rPr>
          <w:rFonts w:cs="Arial"/>
          <w:bCs/>
          <w:szCs w:val="22"/>
          <w:lang w:val="fr-FR"/>
        </w:rPr>
        <w:t>demandent</w:t>
      </w:r>
      <w:r w:rsidR="00ED0307" w:rsidRPr="00F502E9">
        <w:rPr>
          <w:rFonts w:cs="Arial"/>
          <w:bCs/>
          <w:szCs w:val="22"/>
          <w:lang w:val="fr-FR"/>
        </w:rPr>
        <w:t xml:space="preserve"> </w:t>
      </w:r>
      <w:r w:rsidR="007C09A6">
        <w:rPr>
          <w:rFonts w:cs="Arial"/>
          <w:bCs/>
          <w:szCs w:val="22"/>
          <w:lang w:val="fr-FR"/>
        </w:rPr>
        <w:t>qu’</w:t>
      </w:r>
      <w:r w:rsidR="007C09A6" w:rsidRPr="00F502E9">
        <w:rPr>
          <w:rFonts w:cs="Arial"/>
          <w:bCs/>
          <w:szCs w:val="22"/>
          <w:lang w:val="fr-FR"/>
        </w:rPr>
        <w:t>à l’avenir</w:t>
      </w:r>
      <w:r w:rsidR="007C09A6">
        <w:rPr>
          <w:rFonts w:cs="Arial"/>
          <w:bCs/>
          <w:szCs w:val="22"/>
          <w:lang w:val="fr-FR"/>
        </w:rPr>
        <w:t xml:space="preserve"> </w:t>
      </w:r>
      <w:r w:rsidR="00444034">
        <w:rPr>
          <w:rFonts w:cs="Arial"/>
          <w:bCs/>
          <w:szCs w:val="22"/>
          <w:lang w:val="fr-FR"/>
        </w:rPr>
        <w:t xml:space="preserve">la procédure de consultation débute </w:t>
      </w:r>
      <w:r w:rsidR="007C09A6">
        <w:rPr>
          <w:rFonts w:cs="Arial"/>
          <w:bCs/>
          <w:szCs w:val="22"/>
          <w:lang w:val="fr-FR"/>
        </w:rPr>
        <w:t>plus tôt afin que les deux chambres professionnelles aient une</w:t>
      </w:r>
      <w:r w:rsidR="007C09A6" w:rsidRPr="00F502E9">
        <w:rPr>
          <w:rFonts w:cs="Arial"/>
          <w:bCs/>
          <w:szCs w:val="22"/>
          <w:lang w:val="fr-FR"/>
        </w:rPr>
        <w:t xml:space="preserve"> réelle opportunité </w:t>
      </w:r>
      <w:r w:rsidR="00444034">
        <w:rPr>
          <w:rFonts w:cs="Arial"/>
          <w:bCs/>
          <w:szCs w:val="22"/>
          <w:lang w:val="fr-FR"/>
        </w:rPr>
        <w:t>d’</w:t>
      </w:r>
      <w:r w:rsidR="007C09A6" w:rsidRPr="00F502E9">
        <w:rPr>
          <w:rFonts w:cs="Arial"/>
          <w:bCs/>
          <w:szCs w:val="22"/>
          <w:lang w:val="fr-FR"/>
        </w:rPr>
        <w:t>aviser</w:t>
      </w:r>
      <w:r w:rsidR="00444034">
        <w:rPr>
          <w:rFonts w:cs="Arial"/>
          <w:bCs/>
          <w:szCs w:val="22"/>
          <w:lang w:val="fr-FR"/>
        </w:rPr>
        <w:t xml:space="preserve"> les mesures proposées par le Gouvernement</w:t>
      </w:r>
      <w:r w:rsidR="007C09A6" w:rsidRPr="00F502E9">
        <w:rPr>
          <w:rFonts w:cs="Arial"/>
          <w:bCs/>
          <w:szCs w:val="22"/>
          <w:lang w:val="fr-FR"/>
        </w:rPr>
        <w:t xml:space="preserve"> sans que leur implémentation ne soit déjà ostensiblement acquise </w:t>
      </w:r>
      <w:r w:rsidR="007C09A6" w:rsidRPr="00F502E9">
        <w:rPr>
          <w:rFonts w:cs="Arial"/>
          <w:bCs/>
          <w:i/>
          <w:szCs w:val="22"/>
          <w:lang w:val="fr-FR"/>
        </w:rPr>
        <w:t>a priori</w:t>
      </w:r>
      <w:r w:rsidR="007C09A6">
        <w:rPr>
          <w:rFonts w:cs="Arial"/>
          <w:bCs/>
          <w:i/>
          <w:szCs w:val="22"/>
          <w:lang w:val="fr-FR"/>
        </w:rPr>
        <w:t>.</w:t>
      </w:r>
    </w:p>
    <w:p w:rsidR="006732F5" w:rsidRDefault="006732F5" w:rsidP="005729F2">
      <w:pPr>
        <w:pStyle w:val="CDCNorm"/>
        <w:rPr>
          <w:rFonts w:cs="Arial"/>
          <w:bCs/>
          <w:i/>
          <w:szCs w:val="22"/>
          <w:lang w:val="fr-FR"/>
        </w:rPr>
      </w:pPr>
    </w:p>
    <w:p w:rsidR="004E0EB5" w:rsidRDefault="004E0EB5" w:rsidP="005729F2">
      <w:pPr>
        <w:pStyle w:val="CDCNorm"/>
        <w:rPr>
          <w:rFonts w:cs="Arial"/>
          <w:bCs/>
          <w:i/>
          <w:szCs w:val="22"/>
          <w:lang w:val="fr-FR"/>
        </w:rPr>
      </w:pPr>
    </w:p>
    <w:p w:rsidR="0089548C" w:rsidRDefault="0089548C" w:rsidP="005729F2">
      <w:pPr>
        <w:pStyle w:val="CDCNorm"/>
        <w:rPr>
          <w:rFonts w:cs="Arial"/>
          <w:bCs/>
          <w:i/>
          <w:szCs w:val="22"/>
          <w:lang w:val="fr-FR"/>
        </w:rPr>
      </w:pPr>
    </w:p>
    <w:p w:rsidR="00C87C35" w:rsidRDefault="00444034" w:rsidP="006732F5">
      <w:pPr>
        <w:pStyle w:val="CDCNorm"/>
        <w:jc w:val="right"/>
      </w:pPr>
      <w:r>
        <w:rPr>
          <w:rFonts w:cs="Arial"/>
          <w:bCs/>
          <w:i/>
          <w:szCs w:val="22"/>
          <w:lang w:val="fr-FR"/>
        </w:rPr>
        <w:t>Communiqué le 13</w:t>
      </w:r>
      <w:r w:rsidR="006732F5">
        <w:rPr>
          <w:rFonts w:cs="Arial"/>
          <w:bCs/>
          <w:i/>
          <w:szCs w:val="22"/>
          <w:lang w:val="fr-FR"/>
        </w:rPr>
        <w:t xml:space="preserve"> décembre 2010</w:t>
      </w:r>
    </w:p>
    <w:p w:rsidR="00C87C35" w:rsidRPr="00C87C35" w:rsidRDefault="00C87C35" w:rsidP="00C87C35">
      <w:pPr>
        <w:rPr>
          <w:lang w:eastAsia="fr-LU"/>
        </w:rPr>
      </w:pPr>
    </w:p>
    <w:p w:rsidR="00C87C35" w:rsidRDefault="00C87C35" w:rsidP="00C87C35">
      <w:pPr>
        <w:rPr>
          <w:lang w:eastAsia="fr-LU"/>
        </w:rPr>
      </w:pPr>
    </w:p>
    <w:p w:rsidR="006732F5" w:rsidRPr="00C87C35" w:rsidRDefault="00C87C35" w:rsidP="00C87C35">
      <w:pPr>
        <w:tabs>
          <w:tab w:val="left" w:pos="2100"/>
        </w:tabs>
        <w:rPr>
          <w:lang w:eastAsia="fr-LU"/>
        </w:rPr>
      </w:pPr>
      <w:r>
        <w:rPr>
          <w:lang w:eastAsia="fr-LU"/>
        </w:rPr>
        <w:tab/>
      </w:r>
    </w:p>
    <w:sectPr w:rsidR="006732F5" w:rsidRPr="00C87C35" w:rsidSect="00FC41E9">
      <w:headerReference w:type="even" r:id="rId10"/>
      <w:headerReference w:type="default" r:id="rId11"/>
      <w:headerReference w:type="first" r:id="rId12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32" w:rsidRDefault="00E97832" w:rsidP="005729F2">
      <w:pPr>
        <w:spacing w:after="0" w:line="240" w:lineRule="auto"/>
      </w:pPr>
      <w:r>
        <w:separator/>
      </w:r>
    </w:p>
  </w:endnote>
  <w:endnote w:type="continuationSeparator" w:id="0">
    <w:p w:rsidR="00E97832" w:rsidRDefault="00E97832" w:rsidP="0057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32" w:rsidRDefault="00E97832" w:rsidP="005729F2">
      <w:pPr>
        <w:spacing w:after="0" w:line="240" w:lineRule="auto"/>
      </w:pPr>
      <w:r>
        <w:separator/>
      </w:r>
    </w:p>
  </w:footnote>
  <w:footnote w:type="continuationSeparator" w:id="0">
    <w:p w:rsidR="00E97832" w:rsidRDefault="00E97832" w:rsidP="005729F2">
      <w:pPr>
        <w:spacing w:after="0" w:line="240" w:lineRule="auto"/>
      </w:pPr>
      <w:r>
        <w:continuationSeparator/>
      </w:r>
    </w:p>
  </w:footnote>
  <w:footnote w:id="1">
    <w:p w:rsidR="00BE3213" w:rsidRPr="004E0EB5" w:rsidRDefault="00BE3213" w:rsidP="005C4C74">
      <w:pPr>
        <w:pStyle w:val="FootnoteText"/>
        <w:jc w:val="both"/>
        <w:rPr>
          <w:sz w:val="18"/>
          <w:szCs w:val="18"/>
        </w:rPr>
      </w:pPr>
      <w:r w:rsidRPr="004E0EB5">
        <w:rPr>
          <w:rStyle w:val="FootnoteReference"/>
          <w:rFonts w:ascii="Arial" w:hAnsi="Arial" w:cs="Arial"/>
          <w:sz w:val="18"/>
          <w:szCs w:val="18"/>
        </w:rPr>
        <w:footnoteRef/>
      </w:r>
      <w:r w:rsidRPr="004E0EB5">
        <w:rPr>
          <w:rFonts w:ascii="Arial" w:hAnsi="Arial" w:cs="Arial"/>
          <w:sz w:val="18"/>
          <w:szCs w:val="18"/>
        </w:rPr>
        <w:t xml:space="preserve"> 1.251,94 EUR (indice 719,84 valable au 1ier juillet 2010) pour une personne </w:t>
      </w:r>
      <w:r w:rsidR="00DC5753">
        <w:rPr>
          <w:rFonts w:ascii="Arial" w:hAnsi="Arial" w:cs="Arial"/>
          <w:sz w:val="18"/>
          <w:szCs w:val="18"/>
        </w:rPr>
        <w:t xml:space="preserve">vivant </w:t>
      </w:r>
      <w:r w:rsidRPr="004E0EB5">
        <w:rPr>
          <w:rFonts w:ascii="Arial" w:hAnsi="Arial" w:cs="Arial"/>
          <w:sz w:val="18"/>
          <w:szCs w:val="18"/>
        </w:rPr>
        <w:t>seule.</w:t>
      </w:r>
    </w:p>
  </w:footnote>
  <w:footnote w:id="2">
    <w:p w:rsidR="00BE3213" w:rsidRPr="00B11C66" w:rsidRDefault="00BE3213" w:rsidP="005C4C74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11C66">
        <w:rPr>
          <w:rStyle w:val="FootnoteReference"/>
          <w:rFonts w:ascii="Arial" w:hAnsi="Arial" w:cs="Arial"/>
          <w:sz w:val="18"/>
          <w:szCs w:val="18"/>
        </w:rPr>
        <w:footnoteRef/>
      </w:r>
      <w:r w:rsidRPr="00B11C66">
        <w:rPr>
          <w:rFonts w:ascii="Arial" w:hAnsi="Arial" w:cs="Arial"/>
          <w:sz w:val="18"/>
          <w:szCs w:val="18"/>
        </w:rPr>
        <w:t xml:space="preserve"> Avis budgétaire 2011 de la Chambre de Commerce, page 172.</w:t>
      </w:r>
    </w:p>
  </w:footnote>
  <w:footnote w:id="3">
    <w:p w:rsidR="00BE3213" w:rsidRPr="00B11C66" w:rsidRDefault="00BE3213" w:rsidP="005C4C74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11C66">
        <w:rPr>
          <w:rStyle w:val="FootnoteReference"/>
          <w:rFonts w:ascii="Arial" w:hAnsi="Arial" w:cs="Arial"/>
          <w:sz w:val="18"/>
          <w:szCs w:val="18"/>
        </w:rPr>
        <w:footnoteRef/>
      </w:r>
      <w:r w:rsidRPr="00B11C66">
        <w:rPr>
          <w:rFonts w:ascii="Arial" w:hAnsi="Arial" w:cs="Arial"/>
          <w:sz w:val="18"/>
          <w:szCs w:val="18"/>
        </w:rPr>
        <w:t xml:space="preserve"> OCDE : « Etudes économiques de l’OCDE – Luxembourg », mai 2010, page 87.</w:t>
      </w:r>
      <w:r>
        <w:rPr>
          <w:rFonts w:ascii="Arial" w:hAnsi="Arial" w:cs="Arial"/>
          <w:sz w:val="18"/>
          <w:szCs w:val="18"/>
        </w:rPr>
        <w:t xml:space="preserve"> Il est à noter que ces données sont exprimées en SPA (</w:t>
      </w:r>
      <w:r w:rsidRPr="0035283E">
        <w:rPr>
          <w:rFonts w:ascii="Arial" w:hAnsi="Arial" w:cs="Arial"/>
          <w:sz w:val="18"/>
          <w:szCs w:val="18"/>
        </w:rPr>
        <w:t>standard de pouvoir d’achat</w:t>
      </w:r>
      <w:r>
        <w:rPr>
          <w:rFonts w:ascii="Arial" w:hAnsi="Arial" w:cs="Arial"/>
          <w:sz w:val="18"/>
          <w:szCs w:val="18"/>
        </w:rPr>
        <w:t>)</w:t>
      </w:r>
      <w:r w:rsidRPr="0035283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c’e</w:t>
      </w:r>
      <w:r w:rsidRPr="0035283E">
        <w:rPr>
          <w:rFonts w:ascii="Arial" w:hAnsi="Arial" w:cs="Arial"/>
          <w:sz w:val="18"/>
          <w:szCs w:val="18"/>
        </w:rPr>
        <w:t>st-à-dire exprimé</w:t>
      </w:r>
      <w:r>
        <w:rPr>
          <w:rFonts w:ascii="Arial" w:hAnsi="Arial" w:cs="Arial"/>
          <w:sz w:val="18"/>
          <w:szCs w:val="18"/>
        </w:rPr>
        <w:t>es</w:t>
      </w:r>
      <w:r w:rsidRPr="0035283E">
        <w:rPr>
          <w:rFonts w:ascii="Arial" w:hAnsi="Arial" w:cs="Arial"/>
          <w:sz w:val="18"/>
          <w:szCs w:val="18"/>
        </w:rPr>
        <w:t xml:space="preserve"> par rapport au pouvoir d’achat réel</w:t>
      </w:r>
    </w:p>
  </w:footnote>
  <w:footnote w:id="4">
    <w:p w:rsidR="00BE3213" w:rsidRDefault="00BE3213" w:rsidP="005C4C74">
      <w:pPr>
        <w:pStyle w:val="FootnoteText"/>
        <w:jc w:val="both"/>
      </w:pPr>
      <w:r w:rsidRPr="00B11C66">
        <w:rPr>
          <w:rStyle w:val="FootnoteReference"/>
          <w:rFonts w:ascii="Arial" w:hAnsi="Arial" w:cs="Arial"/>
          <w:sz w:val="18"/>
          <w:szCs w:val="18"/>
        </w:rPr>
        <w:footnoteRef/>
      </w:r>
      <w:r w:rsidRPr="00B11C66">
        <w:rPr>
          <w:rFonts w:ascii="Arial" w:hAnsi="Arial" w:cs="Arial"/>
          <w:sz w:val="18"/>
          <w:szCs w:val="18"/>
        </w:rPr>
        <w:t xml:space="preserve"> Ces avis peuvent être téléchargés directement sur les sites Internet des deux chambres professionnelles. Il est à noter que, en ce qui concerne le relèvement du RMG et du SSM, que les chambres professionnelles ont procé</w:t>
      </w:r>
      <w:r>
        <w:rPr>
          <w:rFonts w:ascii="Arial" w:hAnsi="Arial" w:cs="Arial"/>
          <w:sz w:val="18"/>
          <w:szCs w:val="18"/>
        </w:rPr>
        <w:t xml:space="preserve">dé à des avis communs : </w:t>
      </w:r>
      <w:hyperlink r:id="rId1" w:history="1">
        <w:r w:rsidRPr="001F33B7">
          <w:rPr>
            <w:rStyle w:val="Hyperlink"/>
            <w:rFonts w:ascii="Arial" w:hAnsi="Arial" w:cs="Arial"/>
            <w:sz w:val="18"/>
            <w:szCs w:val="18"/>
          </w:rPr>
          <w:t>www.cc.lu</w:t>
        </w:r>
      </w:hyperlink>
      <w:r>
        <w:rPr>
          <w:rFonts w:ascii="Arial" w:hAnsi="Arial" w:cs="Arial"/>
          <w:sz w:val="18"/>
          <w:szCs w:val="18"/>
        </w:rPr>
        <w:t xml:space="preserve"> et </w:t>
      </w:r>
      <w:hyperlink r:id="rId2" w:history="1">
        <w:r w:rsidRPr="001F33B7">
          <w:rPr>
            <w:rStyle w:val="Hyperlink"/>
            <w:rFonts w:ascii="Arial" w:hAnsi="Arial" w:cs="Arial"/>
            <w:sz w:val="18"/>
            <w:szCs w:val="18"/>
          </w:rPr>
          <w:t>www.cdm.lu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13" w:rsidRDefault="00BE32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13" w:rsidRDefault="00810A91">
    <w:pPr>
      <w:pStyle w:val="Header"/>
      <w:jc w:val="center"/>
    </w:pPr>
    <w:sdt>
      <w:sdtPr>
        <w:id w:val="33425040"/>
        <w:docPartObj>
          <w:docPartGallery w:val="Page Numbers (Top of Page)"/>
          <w:docPartUnique/>
        </w:docPartObj>
      </w:sdtPr>
      <w:sdtContent>
        <w:fldSimple w:instr=" PAGE   \* MERGEFORMAT ">
          <w:r w:rsidR="005E13B6">
            <w:rPr>
              <w:noProof/>
            </w:rPr>
            <w:t>1</w:t>
          </w:r>
        </w:fldSimple>
      </w:sdtContent>
    </w:sdt>
  </w:p>
  <w:p w:rsidR="00BE3213" w:rsidRDefault="00BE32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13" w:rsidRDefault="00BE32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11679"/>
    <w:rsid w:val="00016694"/>
    <w:rsid w:val="000B2D58"/>
    <w:rsid w:val="00174F55"/>
    <w:rsid w:val="002370BD"/>
    <w:rsid w:val="002629AE"/>
    <w:rsid w:val="00271A2D"/>
    <w:rsid w:val="002B5897"/>
    <w:rsid w:val="003215E0"/>
    <w:rsid w:val="0035283E"/>
    <w:rsid w:val="00355838"/>
    <w:rsid w:val="003577FB"/>
    <w:rsid w:val="00383F84"/>
    <w:rsid w:val="003B5F8E"/>
    <w:rsid w:val="0041126D"/>
    <w:rsid w:val="00444034"/>
    <w:rsid w:val="00495DBB"/>
    <w:rsid w:val="004A06C0"/>
    <w:rsid w:val="004E0EB5"/>
    <w:rsid w:val="005729F2"/>
    <w:rsid w:val="005C4C74"/>
    <w:rsid w:val="005E13B6"/>
    <w:rsid w:val="006732F5"/>
    <w:rsid w:val="007022D5"/>
    <w:rsid w:val="00764684"/>
    <w:rsid w:val="007C09A6"/>
    <w:rsid w:val="00810A91"/>
    <w:rsid w:val="00887424"/>
    <w:rsid w:val="00893693"/>
    <w:rsid w:val="0089548C"/>
    <w:rsid w:val="00967C5F"/>
    <w:rsid w:val="009B233B"/>
    <w:rsid w:val="009D7102"/>
    <w:rsid w:val="009F0272"/>
    <w:rsid w:val="00A4701B"/>
    <w:rsid w:val="00A62FBD"/>
    <w:rsid w:val="00A80F09"/>
    <w:rsid w:val="00A97009"/>
    <w:rsid w:val="00B11C66"/>
    <w:rsid w:val="00B37F67"/>
    <w:rsid w:val="00BD1266"/>
    <w:rsid w:val="00BE3213"/>
    <w:rsid w:val="00C118BC"/>
    <w:rsid w:val="00C46036"/>
    <w:rsid w:val="00C87C35"/>
    <w:rsid w:val="00CE701C"/>
    <w:rsid w:val="00D12FA1"/>
    <w:rsid w:val="00DA3EC1"/>
    <w:rsid w:val="00DC5753"/>
    <w:rsid w:val="00E11679"/>
    <w:rsid w:val="00E97832"/>
    <w:rsid w:val="00ED0307"/>
    <w:rsid w:val="00F33F7E"/>
    <w:rsid w:val="00F9788E"/>
    <w:rsid w:val="00FC41E9"/>
    <w:rsid w:val="00FE70EB"/>
    <w:rsid w:val="00F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Norm">
    <w:name w:val="CDC_Norm"/>
    <w:basedOn w:val="Normal"/>
    <w:qFormat/>
    <w:rsid w:val="009B233B"/>
    <w:pPr>
      <w:spacing w:after="0" w:line="240" w:lineRule="auto"/>
      <w:jc w:val="both"/>
    </w:pPr>
    <w:rPr>
      <w:rFonts w:ascii="Arial" w:hAnsi="Arial" w:cs="Times New Roman"/>
      <w:szCs w:val="24"/>
      <w:lang w:eastAsia="fr-L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7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0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0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0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66"/>
  </w:style>
  <w:style w:type="paragraph" w:styleId="Footer">
    <w:name w:val="footer"/>
    <w:basedOn w:val="Normal"/>
    <w:link w:val="FooterChar"/>
    <w:uiPriority w:val="99"/>
    <w:semiHidden/>
    <w:unhideWhenUsed/>
    <w:rsid w:val="00B1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C66"/>
  </w:style>
  <w:style w:type="character" w:styleId="Hyperlink">
    <w:name w:val="Hyperlink"/>
    <w:basedOn w:val="DefaultParagraphFont"/>
    <w:uiPriority w:val="99"/>
    <w:unhideWhenUsed/>
    <w:rsid w:val="00444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m.l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m.lu" TargetMode="External"/><Relationship Id="rId1" Type="http://schemas.openxmlformats.org/officeDocument/2006/relationships/hyperlink" Target="http://www.cc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3B55-3AB8-498D-86C8-D6C0B7C5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wmr</dc:creator>
  <cp:lastModifiedBy>mvi</cp:lastModifiedBy>
  <cp:revision>2</cp:revision>
  <cp:lastPrinted>2010-12-13T12:41:00Z</cp:lastPrinted>
  <dcterms:created xsi:type="dcterms:W3CDTF">2011-09-13T13:04:00Z</dcterms:created>
  <dcterms:modified xsi:type="dcterms:W3CDTF">2011-09-13T13:04:00Z</dcterms:modified>
</cp:coreProperties>
</file>