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658" w:rsidRPr="00FD488A" w:rsidRDefault="00375658" w:rsidP="00375658">
      <w:pPr>
        <w:rPr>
          <w:rFonts w:ascii="Arial" w:hAnsi="Arial" w:cs="Arial"/>
          <w:bCs/>
          <w:sz w:val="22"/>
          <w:szCs w:val="22"/>
          <w:lang w:val="fr-FR"/>
        </w:rPr>
      </w:pPr>
      <w:r w:rsidRPr="00FD488A">
        <w:object w:dxaOrig="14173" w:dyaOrig="7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54pt" o:ole="">
            <v:imagedata r:id="rId8" o:title=""/>
          </v:shape>
          <o:OLEObject Type="Embed" ProgID="MSPhotoEd.3" ShapeID="_x0000_i1025" DrawAspect="Content" ObjectID="_1377431968" r:id="rId9"/>
        </w:object>
      </w:r>
      <w:r w:rsidRPr="00FD488A">
        <w:rPr>
          <w:rFonts w:ascii="Arial" w:hAnsi="Arial" w:cs="Arial"/>
          <w:bCs/>
          <w:sz w:val="22"/>
          <w:szCs w:val="22"/>
          <w:lang w:val="fr-FR"/>
        </w:rPr>
        <w:t xml:space="preserve"> </w:t>
      </w:r>
    </w:p>
    <w:p w:rsidR="003C3DCD" w:rsidRDefault="003C3DCD" w:rsidP="00567C36">
      <w:pPr>
        <w:rPr>
          <w:rFonts w:ascii="Arial" w:hAnsi="Arial" w:cs="Arial"/>
          <w:b/>
          <w:bCs/>
          <w:sz w:val="40"/>
          <w:szCs w:val="40"/>
          <w:lang w:val="fr-FR"/>
        </w:rPr>
      </w:pPr>
    </w:p>
    <w:p w:rsidR="00F16034" w:rsidRPr="00FD488A" w:rsidRDefault="00F16034" w:rsidP="00567C36">
      <w:pPr>
        <w:rPr>
          <w:rFonts w:ascii="Arial" w:hAnsi="Arial" w:cs="Arial"/>
          <w:b/>
          <w:bCs/>
          <w:sz w:val="40"/>
          <w:szCs w:val="40"/>
          <w:lang w:val="fr-FR"/>
        </w:rPr>
      </w:pPr>
    </w:p>
    <w:p w:rsidR="00375658" w:rsidRPr="00567C36" w:rsidRDefault="003F7314" w:rsidP="00567C36">
      <w:pPr>
        <w:rPr>
          <w:rFonts w:ascii="Arial" w:hAnsi="Arial" w:cs="Arial"/>
          <w:bCs/>
          <w:sz w:val="22"/>
          <w:szCs w:val="22"/>
          <w:lang w:val="fr-FR"/>
        </w:rPr>
      </w:pPr>
      <w:r w:rsidRPr="00567C36">
        <w:rPr>
          <w:rFonts w:ascii="Arial" w:hAnsi="Arial" w:cs="Arial"/>
          <w:bCs/>
          <w:sz w:val="22"/>
          <w:szCs w:val="22"/>
          <w:lang w:val="fr-FR"/>
        </w:rPr>
        <w:t xml:space="preserve">Communiqué de presse </w:t>
      </w:r>
      <w:r w:rsidR="00567C36">
        <w:rPr>
          <w:rFonts w:ascii="Arial" w:hAnsi="Arial" w:cs="Arial"/>
          <w:bCs/>
          <w:sz w:val="22"/>
          <w:szCs w:val="22"/>
          <w:lang w:val="fr-FR"/>
        </w:rPr>
        <w:t xml:space="preserve">du </w:t>
      </w:r>
      <w:r w:rsidR="003F51A0" w:rsidRPr="00567C36">
        <w:rPr>
          <w:rFonts w:ascii="Arial" w:hAnsi="Arial" w:cs="Arial"/>
          <w:bCs/>
          <w:sz w:val="22"/>
          <w:szCs w:val="22"/>
          <w:lang w:val="fr-FR"/>
        </w:rPr>
        <w:t>7</w:t>
      </w:r>
      <w:r w:rsidR="006A2B81" w:rsidRPr="00567C36">
        <w:rPr>
          <w:rFonts w:ascii="Arial" w:hAnsi="Arial" w:cs="Arial"/>
          <w:bCs/>
          <w:sz w:val="22"/>
          <w:szCs w:val="22"/>
          <w:lang w:val="fr-FR"/>
        </w:rPr>
        <w:t xml:space="preserve"> </w:t>
      </w:r>
      <w:r w:rsidR="00E2522E" w:rsidRPr="00567C36">
        <w:rPr>
          <w:rFonts w:ascii="Arial" w:hAnsi="Arial" w:cs="Arial"/>
          <w:bCs/>
          <w:sz w:val="22"/>
          <w:szCs w:val="22"/>
          <w:lang w:val="fr-FR"/>
        </w:rPr>
        <w:t>décembre 2010</w:t>
      </w:r>
    </w:p>
    <w:p w:rsidR="00375658" w:rsidRDefault="00375658" w:rsidP="0043174A">
      <w:pPr>
        <w:jc w:val="center"/>
        <w:rPr>
          <w:rFonts w:ascii="Arial" w:hAnsi="Arial" w:cs="Arial"/>
          <w:b/>
          <w:bCs/>
          <w:sz w:val="28"/>
          <w:szCs w:val="28"/>
          <w:lang w:val="fr-FR"/>
        </w:rPr>
      </w:pPr>
    </w:p>
    <w:p w:rsidR="00F16034" w:rsidRPr="00FD488A" w:rsidRDefault="00F16034" w:rsidP="0043174A">
      <w:pPr>
        <w:jc w:val="center"/>
        <w:rPr>
          <w:rFonts w:ascii="Arial" w:hAnsi="Arial" w:cs="Arial"/>
          <w:b/>
          <w:bCs/>
          <w:sz w:val="28"/>
          <w:szCs w:val="28"/>
          <w:lang w:val="fr-FR"/>
        </w:rPr>
      </w:pPr>
    </w:p>
    <w:p w:rsidR="0043174A" w:rsidRPr="00FD488A" w:rsidRDefault="0043174A" w:rsidP="0043174A">
      <w:pPr>
        <w:pBdr>
          <w:top w:val="single" w:sz="4" w:space="1" w:color="auto"/>
          <w:left w:val="single" w:sz="4" w:space="4" w:color="auto"/>
          <w:bottom w:val="single" w:sz="4" w:space="1" w:color="auto"/>
          <w:right w:val="single" w:sz="4" w:space="4" w:color="auto"/>
        </w:pBdr>
        <w:jc w:val="center"/>
        <w:outlineLvl w:val="0"/>
        <w:rPr>
          <w:rFonts w:ascii="Arial" w:hAnsi="Arial" w:cs="Arial"/>
          <w:b/>
          <w:bCs/>
          <w:sz w:val="28"/>
          <w:szCs w:val="28"/>
          <w:lang w:val="fr-FR"/>
        </w:rPr>
      </w:pPr>
    </w:p>
    <w:p w:rsidR="0043174A" w:rsidRPr="00960FAC" w:rsidRDefault="003F7314" w:rsidP="0043174A">
      <w:pPr>
        <w:pBdr>
          <w:top w:val="single" w:sz="4" w:space="1" w:color="auto"/>
          <w:left w:val="single" w:sz="4" w:space="4" w:color="auto"/>
          <w:bottom w:val="single" w:sz="4" w:space="1" w:color="auto"/>
          <w:right w:val="single" w:sz="4" w:space="4" w:color="auto"/>
        </w:pBdr>
        <w:jc w:val="center"/>
        <w:outlineLvl w:val="0"/>
        <w:rPr>
          <w:rFonts w:ascii="Arial" w:hAnsi="Arial" w:cs="Arial"/>
          <w:b/>
          <w:bCs/>
          <w:lang w:val="fr-FR"/>
        </w:rPr>
      </w:pPr>
      <w:r w:rsidRPr="00960FAC">
        <w:rPr>
          <w:rFonts w:ascii="Arial" w:hAnsi="Arial" w:cs="Arial"/>
          <w:b/>
          <w:bCs/>
          <w:lang w:val="fr-FR"/>
        </w:rPr>
        <w:t>E</w:t>
      </w:r>
      <w:r w:rsidR="00375658" w:rsidRPr="00960FAC">
        <w:rPr>
          <w:rFonts w:ascii="Arial" w:hAnsi="Arial" w:cs="Arial"/>
          <w:b/>
          <w:bCs/>
          <w:lang w:val="fr-FR"/>
        </w:rPr>
        <w:t>nquête Eurochambres 20</w:t>
      </w:r>
      <w:r w:rsidR="00E2522E" w:rsidRPr="00960FAC">
        <w:rPr>
          <w:rFonts w:ascii="Arial" w:hAnsi="Arial" w:cs="Arial"/>
          <w:b/>
          <w:bCs/>
          <w:lang w:val="fr-FR"/>
        </w:rPr>
        <w:t>11</w:t>
      </w:r>
      <w:r w:rsidRPr="00960FAC">
        <w:rPr>
          <w:rFonts w:ascii="Arial" w:hAnsi="Arial" w:cs="Arial"/>
          <w:b/>
          <w:bCs/>
          <w:lang w:val="fr-FR"/>
        </w:rPr>
        <w:t xml:space="preserve"> auprès des entreprises luxembourgeoises</w:t>
      </w:r>
    </w:p>
    <w:p w:rsidR="007854D7" w:rsidRPr="00FD488A" w:rsidRDefault="007854D7" w:rsidP="0043174A">
      <w:pPr>
        <w:pBdr>
          <w:top w:val="single" w:sz="4" w:space="1" w:color="auto"/>
          <w:left w:val="single" w:sz="4" w:space="4" w:color="auto"/>
          <w:bottom w:val="single" w:sz="4" w:space="1" w:color="auto"/>
          <w:right w:val="single" w:sz="4" w:space="4" w:color="auto"/>
        </w:pBdr>
        <w:jc w:val="center"/>
        <w:outlineLvl w:val="0"/>
        <w:rPr>
          <w:rFonts w:ascii="Arial" w:hAnsi="Arial" w:cs="Arial"/>
          <w:b/>
          <w:bCs/>
          <w:sz w:val="28"/>
          <w:szCs w:val="28"/>
          <w:lang w:val="fr-FR"/>
        </w:rPr>
      </w:pPr>
    </w:p>
    <w:p w:rsidR="0043174A" w:rsidRPr="00960FAC" w:rsidRDefault="008631E5" w:rsidP="00304536">
      <w:pPr>
        <w:pBdr>
          <w:top w:val="single" w:sz="4" w:space="1" w:color="auto"/>
          <w:left w:val="single" w:sz="4" w:space="4" w:color="auto"/>
          <w:bottom w:val="single" w:sz="4" w:space="1" w:color="auto"/>
          <w:right w:val="single" w:sz="4" w:space="4" w:color="auto"/>
        </w:pBdr>
        <w:jc w:val="center"/>
        <w:outlineLvl w:val="0"/>
        <w:rPr>
          <w:rFonts w:ascii="Arial" w:hAnsi="Arial" w:cs="Arial"/>
          <w:b/>
          <w:bCs/>
          <w:sz w:val="40"/>
          <w:szCs w:val="40"/>
          <w:lang w:val="fr-FR"/>
        </w:rPr>
      </w:pPr>
      <w:r>
        <w:rPr>
          <w:rFonts w:ascii="Arial" w:hAnsi="Arial" w:cs="Arial"/>
          <w:b/>
          <w:bCs/>
          <w:sz w:val="40"/>
          <w:szCs w:val="40"/>
          <w:lang w:val="fr-FR"/>
        </w:rPr>
        <w:t>L’immobilisme fige l’emploi et réduit le potentiel de croissance de l’économie</w:t>
      </w:r>
    </w:p>
    <w:p w:rsidR="0043174A" w:rsidRPr="00FD488A" w:rsidRDefault="0043174A" w:rsidP="0043174A">
      <w:pPr>
        <w:pBdr>
          <w:top w:val="single" w:sz="4" w:space="1" w:color="auto"/>
          <w:left w:val="single" w:sz="4" w:space="4" w:color="auto"/>
          <w:bottom w:val="single" w:sz="4" w:space="1" w:color="auto"/>
          <w:right w:val="single" w:sz="4" w:space="4" w:color="auto"/>
        </w:pBdr>
        <w:jc w:val="center"/>
        <w:outlineLvl w:val="0"/>
        <w:rPr>
          <w:rFonts w:ascii="Arial" w:hAnsi="Arial" w:cs="Arial"/>
          <w:b/>
          <w:bCs/>
          <w:lang w:val="fr-FR"/>
        </w:rPr>
      </w:pPr>
    </w:p>
    <w:p w:rsidR="00FF5470" w:rsidRDefault="00FF5470" w:rsidP="00375658">
      <w:pPr>
        <w:pStyle w:val="xl28"/>
        <w:pBdr>
          <w:left w:val="none" w:sz="0" w:space="0" w:color="auto"/>
        </w:pBdr>
        <w:spacing w:before="0" w:beforeAutospacing="0" w:after="0" w:afterAutospacing="0"/>
        <w:rPr>
          <w:rFonts w:eastAsia="Times New Roman" w:cs="Arial"/>
          <w:bCs/>
          <w:sz w:val="22"/>
          <w:szCs w:val="22"/>
          <w:lang w:val="fr-FR"/>
        </w:rPr>
      </w:pPr>
    </w:p>
    <w:p w:rsidR="00567C36" w:rsidRDefault="00567C36" w:rsidP="00375658">
      <w:pPr>
        <w:pStyle w:val="xl28"/>
        <w:pBdr>
          <w:left w:val="none" w:sz="0" w:space="0" w:color="auto"/>
        </w:pBdr>
        <w:spacing w:before="0" w:beforeAutospacing="0" w:after="0" w:afterAutospacing="0"/>
        <w:rPr>
          <w:rFonts w:eastAsia="Times New Roman" w:cs="Arial"/>
          <w:bCs/>
          <w:sz w:val="22"/>
          <w:szCs w:val="22"/>
          <w:lang w:val="fr-FR"/>
        </w:rPr>
      </w:pPr>
    </w:p>
    <w:p w:rsidR="00567C36" w:rsidRPr="00FD488A" w:rsidRDefault="00567C36" w:rsidP="00567C36">
      <w:pPr>
        <w:pStyle w:val="CC"/>
      </w:pPr>
      <w:r w:rsidRPr="00FD488A">
        <w:rPr>
          <w:lang w:val="fr-LU"/>
        </w:rPr>
        <w:t>De manière générale, les résultats de l’enquête Eurochambres 2011 confirment la reprise engagée dans les entreprises luxembourgeoises</w:t>
      </w:r>
      <w:r>
        <w:rPr>
          <w:lang w:val="fr-LU"/>
        </w:rPr>
        <w:t xml:space="preserve"> en 2010. Cependant, les anticipations des chefs d’entreprise restent empreintes d’une incertitude élevée pour 2011, ce qui impacte négativement leur propension à investir et à recruter. L</w:t>
      </w:r>
      <w:r w:rsidRPr="00FD488A">
        <w:t>a Chambre de Commerce reste en attente de vraies mesures en faveur de la compétitivité des entreprises leur fournissant une bouffée d’oxygène sous forme de mesures d’amélioration concrètes. Elle regrette l’immobilisme et l’absence de vision à long terme, alors que tout report des inévitables réformes et toute perte de temps à cet égard rendront les mesures à adopter plus incisives et impopulaires.</w:t>
      </w:r>
    </w:p>
    <w:p w:rsidR="00567C36" w:rsidRPr="00FD488A" w:rsidRDefault="00567C36" w:rsidP="00375658">
      <w:pPr>
        <w:pStyle w:val="xl28"/>
        <w:pBdr>
          <w:left w:val="none" w:sz="0" w:space="0" w:color="auto"/>
        </w:pBdr>
        <w:spacing w:before="0" w:beforeAutospacing="0" w:after="0" w:afterAutospacing="0"/>
        <w:rPr>
          <w:rFonts w:eastAsia="Times New Roman" w:cs="Arial"/>
          <w:bCs/>
          <w:sz w:val="22"/>
          <w:szCs w:val="22"/>
          <w:lang w:val="fr-FR"/>
        </w:rPr>
      </w:pPr>
    </w:p>
    <w:p w:rsidR="00EF2DFB" w:rsidRPr="00FD488A" w:rsidRDefault="00EF2DFB" w:rsidP="00375658">
      <w:pPr>
        <w:pStyle w:val="xl28"/>
        <w:pBdr>
          <w:left w:val="none" w:sz="0" w:space="0" w:color="auto"/>
        </w:pBdr>
        <w:spacing w:before="0" w:beforeAutospacing="0" w:after="0" w:afterAutospacing="0"/>
        <w:rPr>
          <w:rFonts w:eastAsia="Times New Roman" w:cs="Arial"/>
          <w:sz w:val="22"/>
          <w:szCs w:val="22"/>
          <w:lang w:val="fr-FR"/>
        </w:rPr>
      </w:pPr>
    </w:p>
    <w:p w:rsidR="00375658" w:rsidRPr="00FD488A" w:rsidRDefault="0043086F" w:rsidP="00375658">
      <w:pPr>
        <w:pStyle w:val="xl28"/>
        <w:pBdr>
          <w:left w:val="none" w:sz="0" w:space="0" w:color="auto"/>
        </w:pBdr>
        <w:spacing w:before="0" w:beforeAutospacing="0" w:after="0" w:afterAutospacing="0"/>
        <w:rPr>
          <w:rFonts w:eastAsia="Times New Roman" w:cs="Arial"/>
          <w:b/>
          <w:sz w:val="22"/>
          <w:szCs w:val="22"/>
          <w:u w:val="single"/>
          <w:lang w:val="fr-FR"/>
        </w:rPr>
      </w:pPr>
      <w:r w:rsidRPr="00FD488A">
        <w:rPr>
          <w:rFonts w:cs="Arial"/>
          <w:b/>
          <w:sz w:val="22"/>
          <w:szCs w:val="22"/>
          <w:u w:val="single"/>
          <w:lang w:val="fr-FR"/>
        </w:rPr>
        <w:t xml:space="preserve">Enquête Eurochambres 2011 : </w:t>
      </w:r>
      <w:r w:rsidRPr="00FD488A">
        <w:rPr>
          <w:rFonts w:eastAsia="Times New Roman" w:cs="Arial"/>
          <w:b/>
          <w:sz w:val="22"/>
          <w:szCs w:val="22"/>
          <w:u w:val="single"/>
          <w:lang w:val="fr-FR"/>
        </w:rPr>
        <w:t>Faits saillants</w:t>
      </w:r>
    </w:p>
    <w:p w:rsidR="0015356E" w:rsidRPr="00FD488A" w:rsidRDefault="0015356E" w:rsidP="00567C36">
      <w:pPr>
        <w:pStyle w:val="CC"/>
      </w:pPr>
    </w:p>
    <w:p w:rsidR="00E7255F" w:rsidRPr="00FD488A" w:rsidRDefault="00567C36" w:rsidP="00CD4E31">
      <w:pPr>
        <w:pStyle w:val="CDCnormal"/>
        <w:numPr>
          <w:ilvl w:val="0"/>
          <w:numId w:val="29"/>
        </w:numPr>
      </w:pPr>
      <w:r>
        <w:rPr>
          <w:lang w:val="fr-LU"/>
        </w:rPr>
        <w:t xml:space="preserve">Les réponses des entreprises concernant l’évolution </w:t>
      </w:r>
      <w:r w:rsidRPr="00567C36">
        <w:rPr>
          <w:b/>
          <w:lang w:val="fr-LU"/>
        </w:rPr>
        <w:t>en 2010</w:t>
      </w:r>
      <w:r>
        <w:rPr>
          <w:lang w:val="fr-LU"/>
        </w:rPr>
        <w:t xml:space="preserve"> du</w:t>
      </w:r>
      <w:r w:rsidR="00CD4E31" w:rsidRPr="00FD488A">
        <w:rPr>
          <w:lang w:val="fr-LU"/>
        </w:rPr>
        <w:t xml:space="preserve"> </w:t>
      </w:r>
      <w:r w:rsidR="00CD4E31" w:rsidRPr="00FD488A">
        <w:rPr>
          <w:b/>
          <w:i/>
          <w:lang w:val="fr-LU"/>
        </w:rPr>
        <w:t>climat des affaires</w:t>
      </w:r>
      <w:r>
        <w:rPr>
          <w:b/>
          <w:i/>
          <w:lang w:val="fr-LU"/>
        </w:rPr>
        <w:t xml:space="preserve"> </w:t>
      </w:r>
      <w:r w:rsidRPr="00567C36">
        <w:rPr>
          <w:lang w:val="fr-LU"/>
        </w:rPr>
        <w:t>dans lequel elles évoluent</w:t>
      </w:r>
      <w:r>
        <w:rPr>
          <w:lang w:val="fr-LU"/>
        </w:rPr>
        <w:t xml:space="preserve"> indiquent une reprise sensible par rapport à l’enquête précédente</w:t>
      </w:r>
      <w:r w:rsidR="00CD4E31" w:rsidRPr="00FD488A">
        <w:rPr>
          <w:lang w:val="fr-LU"/>
        </w:rPr>
        <w:t>.</w:t>
      </w:r>
      <w:r w:rsidR="0015356E" w:rsidRPr="00FD488A">
        <w:rPr>
          <w:lang w:val="fr-LU"/>
        </w:rPr>
        <w:t xml:space="preserve"> Ce résultat n’est guère surprenant au vu du plancher de l’évolution conjoncturelle atteint en 2009,</w:t>
      </w:r>
      <w:r w:rsidR="00B827FA" w:rsidRPr="00FD488A">
        <w:rPr>
          <w:lang w:val="fr-LU"/>
        </w:rPr>
        <w:t xml:space="preserve"> avec une </w:t>
      </w:r>
      <w:r w:rsidR="00CD4E31" w:rsidRPr="00FD488A">
        <w:rPr>
          <w:lang w:val="fr-LU"/>
        </w:rPr>
        <w:t>contraction</w:t>
      </w:r>
      <w:r w:rsidR="00B827FA" w:rsidRPr="00FD488A">
        <w:rPr>
          <w:lang w:val="fr-LU"/>
        </w:rPr>
        <w:t xml:space="preserve"> du PIB de l’ordre de -3,7%. </w:t>
      </w:r>
      <w:r w:rsidR="00156B2E" w:rsidRPr="00FD488A">
        <w:rPr>
          <w:lang w:val="fr-LU"/>
        </w:rPr>
        <w:t>La</w:t>
      </w:r>
      <w:r w:rsidR="00B827FA" w:rsidRPr="00FD488A">
        <w:rPr>
          <w:lang w:val="fr-LU"/>
        </w:rPr>
        <w:t xml:space="preserve"> chute de l’activité économique est allée de pair avec un déstockage important</w:t>
      </w:r>
      <w:r w:rsidR="00FF5ABD" w:rsidRPr="00FD488A">
        <w:rPr>
          <w:rStyle w:val="FootnoteReference"/>
          <w:lang w:val="fr-LU"/>
        </w:rPr>
        <w:footnoteReference w:id="1"/>
      </w:r>
      <w:r w:rsidR="00B827FA" w:rsidRPr="00FD488A">
        <w:rPr>
          <w:lang w:val="fr-LU"/>
        </w:rPr>
        <w:t>. En 2010, l</w:t>
      </w:r>
      <w:r w:rsidR="00CD4E31" w:rsidRPr="00FD488A">
        <w:rPr>
          <w:lang w:val="fr-LU"/>
        </w:rPr>
        <w:t>e niveau d’activité est reparti</w:t>
      </w:r>
      <w:r w:rsidR="00B827FA" w:rsidRPr="00FD488A">
        <w:rPr>
          <w:lang w:val="fr-LU"/>
        </w:rPr>
        <w:t xml:space="preserve"> mécaniquement à la hausse suite notamment au restockage industriel. Or, cette reconstitution des stocks est désormais achevée. Afin de pouvoir consolider ce niveau d’activité </w:t>
      </w:r>
      <w:r w:rsidR="00CD4E31" w:rsidRPr="00FD488A">
        <w:rPr>
          <w:lang w:val="fr-LU"/>
        </w:rPr>
        <w:t xml:space="preserve">en hausse </w:t>
      </w:r>
      <w:r w:rsidR="00B827FA" w:rsidRPr="00FD488A">
        <w:rPr>
          <w:lang w:val="fr-LU"/>
        </w:rPr>
        <w:t>à l’avenir, et ce de façon durable, les entreprises luxembourgeoises doivent à présent impérativement offrir des produits et des services compétitifs sur des marchés globalisés et hautement concurrentiels.</w:t>
      </w:r>
      <w:r w:rsidR="00CD4E31" w:rsidRPr="00FD488A">
        <w:t xml:space="preserve"> Les perspectives </w:t>
      </w:r>
      <w:r w:rsidR="00CD4E31" w:rsidRPr="00FD488A">
        <w:rPr>
          <w:b/>
        </w:rPr>
        <w:t>pour 2011</w:t>
      </w:r>
      <w:r w:rsidR="00CD4E31" w:rsidRPr="00FD488A">
        <w:t xml:space="preserve"> demeurent toutefois très hésitantes et incertaines quant à l’appréciation du climat des affaires. </w:t>
      </w:r>
      <w:r w:rsidR="00CD4E31" w:rsidRPr="00FD488A">
        <w:lastRenderedPageBreak/>
        <w:t xml:space="preserve">L’EES2011 ne comporte pas de signes évidents que le potentiel de croissance historique du Luxembourg, c’est-à-dire une croissance du PIB de 4-5%, soit atteint à moyen terme. </w:t>
      </w:r>
    </w:p>
    <w:p w:rsidR="00E7255F" w:rsidRPr="00FD488A" w:rsidRDefault="00E7255F" w:rsidP="00E7255F">
      <w:pPr>
        <w:pStyle w:val="CDCnormal"/>
        <w:ind w:left="360"/>
      </w:pPr>
    </w:p>
    <w:p w:rsidR="005A3FDE" w:rsidRPr="00FD488A" w:rsidRDefault="002F30FB" w:rsidP="005A3FDE">
      <w:pPr>
        <w:pStyle w:val="CDCnormal"/>
        <w:numPr>
          <w:ilvl w:val="0"/>
          <w:numId w:val="29"/>
        </w:numPr>
      </w:pPr>
      <w:r w:rsidRPr="00FD488A">
        <w:t xml:space="preserve">En ce qui concerne le </w:t>
      </w:r>
      <w:r w:rsidRPr="00FD488A">
        <w:rPr>
          <w:b/>
          <w:i/>
        </w:rPr>
        <w:t>chiffre d’affaires</w:t>
      </w:r>
      <w:r w:rsidRPr="00FD488A">
        <w:t xml:space="preserve">, son évolution est </w:t>
      </w:r>
      <w:r w:rsidR="0015356E" w:rsidRPr="00FD488A">
        <w:t xml:space="preserve">en hausse </w:t>
      </w:r>
      <w:r w:rsidRPr="00FD488A">
        <w:rPr>
          <w:b/>
        </w:rPr>
        <w:t>en 2010</w:t>
      </w:r>
      <w:r w:rsidRPr="00FD488A">
        <w:t xml:space="preserve"> </w:t>
      </w:r>
      <w:r w:rsidR="0015356E" w:rsidRPr="00FD488A">
        <w:t>par rapport e</w:t>
      </w:r>
      <w:r w:rsidR="005A3FDE" w:rsidRPr="00FD488A">
        <w:t xml:space="preserve">n 2009 mais </w:t>
      </w:r>
      <w:r w:rsidR="0015356E" w:rsidRPr="00FD488A">
        <w:t>le niveau d’avant-crise n’est pas encore atteint pour beaucoup d’entre elles.</w:t>
      </w:r>
      <w:r w:rsidR="005A3FDE" w:rsidRPr="00FD488A">
        <w:t xml:space="preserve"> </w:t>
      </w:r>
      <w:r w:rsidR="007354DE" w:rsidRPr="00FD488A">
        <w:t>Les prévisions</w:t>
      </w:r>
      <w:r w:rsidR="007354DE" w:rsidRPr="00FD488A">
        <w:rPr>
          <w:b/>
        </w:rPr>
        <w:t xml:space="preserve"> pour 2011</w:t>
      </w:r>
      <w:r w:rsidR="007354DE" w:rsidRPr="00FD488A">
        <w:t xml:space="preserve"> sont </w:t>
      </w:r>
      <w:r w:rsidR="005A3FDE" w:rsidRPr="00FD488A">
        <w:t xml:space="preserve">quant à elles </w:t>
      </w:r>
      <w:r w:rsidR="007354DE" w:rsidRPr="00FD488A">
        <w:t>relativement optimistes</w:t>
      </w:r>
      <w:r w:rsidR="005A3FDE" w:rsidRPr="00FD488A">
        <w:t xml:space="preserve">. </w:t>
      </w:r>
      <w:r w:rsidR="00D21D24" w:rsidRPr="00FD488A">
        <w:t xml:space="preserve">Il faut toutefois </w:t>
      </w:r>
      <w:r w:rsidR="00D54F02" w:rsidRPr="00FD488A">
        <w:t>souligner</w:t>
      </w:r>
      <w:r w:rsidR="00D21D24" w:rsidRPr="00FD488A">
        <w:t xml:space="preserve"> que le chiffre d’affaires est un </w:t>
      </w:r>
      <w:r w:rsidR="00CD4E31" w:rsidRPr="00FD488A">
        <w:rPr>
          <w:lang w:val="fr-LU"/>
        </w:rPr>
        <w:t>indicateur en valeur </w:t>
      </w:r>
      <w:r w:rsidR="00D54F02" w:rsidRPr="00FD488A">
        <w:rPr>
          <w:lang w:val="fr-LU"/>
        </w:rPr>
        <w:t>et donc</w:t>
      </w:r>
      <w:r w:rsidR="00CD4E31" w:rsidRPr="00FD488A">
        <w:rPr>
          <w:lang w:val="fr-LU"/>
        </w:rPr>
        <w:t xml:space="preserve"> une partie non-négligeable de la hausse du chiffre d’affaires tire son origine </w:t>
      </w:r>
      <w:r w:rsidR="00D21D24" w:rsidRPr="00FD488A">
        <w:rPr>
          <w:lang w:val="fr-LU"/>
        </w:rPr>
        <w:t>d’</w:t>
      </w:r>
      <w:r w:rsidR="00CD4E31" w:rsidRPr="00FD488A">
        <w:rPr>
          <w:lang w:val="fr-LU"/>
        </w:rPr>
        <w:t>un</w:t>
      </w:r>
      <w:r w:rsidR="00D21D24" w:rsidRPr="00FD488A">
        <w:rPr>
          <w:lang w:val="fr-LU"/>
        </w:rPr>
        <w:t>e progression purement nominale</w:t>
      </w:r>
      <w:r w:rsidR="00FD46AB" w:rsidRPr="00FD488A">
        <w:rPr>
          <w:lang w:val="fr-LU"/>
        </w:rPr>
        <w:t>,</w:t>
      </w:r>
      <w:r w:rsidR="00D21D24" w:rsidRPr="00FD488A">
        <w:rPr>
          <w:lang w:val="fr-LU"/>
        </w:rPr>
        <w:t xml:space="preserve"> </w:t>
      </w:r>
      <w:r w:rsidR="00D54F02" w:rsidRPr="00FD488A">
        <w:rPr>
          <w:lang w:val="fr-LU"/>
        </w:rPr>
        <w:t>de par l’intégration dans les prix de la hausse du prix</w:t>
      </w:r>
      <w:r w:rsidR="00D21D24" w:rsidRPr="00FD488A">
        <w:rPr>
          <w:lang w:val="fr-LU"/>
        </w:rPr>
        <w:t xml:space="preserve"> des matières premières</w:t>
      </w:r>
      <w:r w:rsidR="00D54F02" w:rsidRPr="00FD488A">
        <w:rPr>
          <w:lang w:val="fr-LU"/>
        </w:rPr>
        <w:t xml:space="preserve"> ou</w:t>
      </w:r>
      <w:r w:rsidR="00D21D24" w:rsidRPr="00FD488A">
        <w:rPr>
          <w:lang w:val="fr-LU"/>
        </w:rPr>
        <w:t xml:space="preserve"> </w:t>
      </w:r>
      <w:r w:rsidR="00D54F02" w:rsidRPr="00FD488A">
        <w:rPr>
          <w:lang w:val="fr-LU"/>
        </w:rPr>
        <w:t xml:space="preserve">une </w:t>
      </w:r>
      <w:r w:rsidR="00D21D24" w:rsidRPr="00FD488A">
        <w:rPr>
          <w:lang w:val="fr-LU"/>
        </w:rPr>
        <w:t>tranche indiciaire</w:t>
      </w:r>
      <w:r w:rsidR="00D54F02" w:rsidRPr="00FD488A">
        <w:rPr>
          <w:lang w:val="fr-LU"/>
        </w:rPr>
        <w:t xml:space="preserve"> qui arrive à échéance</w:t>
      </w:r>
      <w:r w:rsidR="00877E36" w:rsidRPr="00FD488A">
        <w:rPr>
          <w:lang w:val="fr-LU"/>
        </w:rPr>
        <w:t>.</w:t>
      </w:r>
      <w:r w:rsidR="002B29B1">
        <w:rPr>
          <w:lang w:val="fr-LU"/>
        </w:rPr>
        <w:t xml:space="preserve"> Il faut en effet constater que les prix des facteurs de production et notamment le coût salarial unitaire continuent à progresser à un rythme moyen soutenu en comparaison avec les principaux partenaires commerciaux du Luxembourg.</w:t>
      </w:r>
    </w:p>
    <w:p w:rsidR="00E7255F" w:rsidRPr="00FD488A" w:rsidRDefault="00E7255F" w:rsidP="00E7255F">
      <w:pPr>
        <w:pStyle w:val="CDCnormal"/>
        <w:ind w:left="360"/>
      </w:pPr>
    </w:p>
    <w:p w:rsidR="00E7255F" w:rsidRPr="00FD488A" w:rsidRDefault="002B29B1" w:rsidP="00FD46AB">
      <w:pPr>
        <w:pStyle w:val="CC"/>
        <w:numPr>
          <w:ilvl w:val="0"/>
          <w:numId w:val="30"/>
        </w:numPr>
      </w:pPr>
      <w:r>
        <w:t xml:space="preserve">Peu de dynamisme est visible </w:t>
      </w:r>
      <w:r w:rsidR="00FD46AB" w:rsidRPr="00FD488A">
        <w:t xml:space="preserve">sur le front de </w:t>
      </w:r>
      <w:r w:rsidR="00FD46AB" w:rsidRPr="00FD488A">
        <w:rPr>
          <w:b/>
          <w:i/>
        </w:rPr>
        <w:t>l’emploi</w:t>
      </w:r>
      <w:r w:rsidR="00FD46AB" w:rsidRPr="00FD488A">
        <w:t xml:space="preserve"> entre </w:t>
      </w:r>
      <w:r w:rsidR="00CD3DD7">
        <w:rPr>
          <w:b/>
        </w:rPr>
        <w:t>2009 et</w:t>
      </w:r>
      <w:r w:rsidR="00FD46AB" w:rsidRPr="00FD488A">
        <w:rPr>
          <w:b/>
        </w:rPr>
        <w:t xml:space="preserve"> 2010</w:t>
      </w:r>
      <w:r w:rsidR="00FD46AB" w:rsidRPr="00FD488A">
        <w:t xml:space="preserve"> et i</w:t>
      </w:r>
      <w:r w:rsidR="00E7255F" w:rsidRPr="00FD488A">
        <w:t xml:space="preserve">l subsiste également </w:t>
      </w:r>
      <w:r w:rsidR="00CD4E31" w:rsidRPr="00FD488A">
        <w:t xml:space="preserve">une grande retenue </w:t>
      </w:r>
      <w:r w:rsidR="00E7255F" w:rsidRPr="00FD488A">
        <w:t>quant à</w:t>
      </w:r>
      <w:r w:rsidR="00FD46AB" w:rsidRPr="00FD488A">
        <w:t xml:space="preserve"> son </w:t>
      </w:r>
      <w:r w:rsidR="00E7255F" w:rsidRPr="00FD488A">
        <w:t xml:space="preserve">évolution </w:t>
      </w:r>
      <w:r w:rsidR="00E7255F" w:rsidRPr="00FD488A">
        <w:rPr>
          <w:b/>
        </w:rPr>
        <w:t>en 2011</w:t>
      </w:r>
      <w:r w:rsidR="00E7255F" w:rsidRPr="00FD488A">
        <w:t xml:space="preserve">. </w:t>
      </w:r>
      <w:r w:rsidR="00D21F4F">
        <w:t>En effet, 70,9% des entreprises ont indiqué que leur effectif resterait stable en 2011</w:t>
      </w:r>
      <w:r w:rsidR="00EB330F">
        <w:t xml:space="preserve">, un pourcentage </w:t>
      </w:r>
      <w:r w:rsidR="00412E4D">
        <w:t xml:space="preserve">élevé qui n’a plus été </w:t>
      </w:r>
      <w:r w:rsidR="00EB330F">
        <w:t>atteint d</w:t>
      </w:r>
      <w:r w:rsidR="00412E4D">
        <w:t>epuis 2005 d</w:t>
      </w:r>
      <w:r w:rsidR="00EB330F">
        <w:t xml:space="preserve">ans l’enquête </w:t>
      </w:r>
      <w:proofErr w:type="spellStart"/>
      <w:r w:rsidR="00EB330F">
        <w:t>Eurochambres</w:t>
      </w:r>
      <w:proofErr w:type="spellEnd"/>
      <w:r w:rsidR="00EB330F">
        <w:t xml:space="preserve">. </w:t>
      </w:r>
      <w:r w:rsidR="00E7255F" w:rsidRPr="00FD488A">
        <w:t>Ce</w:t>
      </w:r>
      <w:r w:rsidR="00EB330F">
        <w:t xml:space="preserve">ci </w:t>
      </w:r>
      <w:r w:rsidR="00E7255F" w:rsidRPr="00FD488A">
        <w:t>traduit la méfiance des entrepreneurs en ce qui concerne l’ampleur et la durabilité de la reprise. Elle met également en évidence leurs craintes quant à l’évolution des coûts du facteur de production « travail » et quant à leur capacité de mettre en œuvre leur stratégie de développement avec des automatismes réglementaires et des hausses des coûts salariaux plus marqué</w:t>
      </w:r>
      <w:r w:rsidR="005A3FDE" w:rsidRPr="00FD488A">
        <w:t>es</w:t>
      </w:r>
      <w:r w:rsidR="00E7255F" w:rsidRPr="00FD488A">
        <w:t xml:space="preserve"> que l’évolution de la productivité. Ainsi, pour diminuer ces coûts, un moyen à disposition des entreprises est l’ajustement vers le bas des effectifs, ou au mieux, leur stabilité. </w:t>
      </w:r>
      <w:r w:rsidR="00CD4E31" w:rsidRPr="00FD488A">
        <w:t>De surcroît</w:t>
      </w:r>
      <w:r w:rsidR="00E7255F" w:rsidRPr="00FD488A">
        <w:t xml:space="preserve">, après les taux de croissance historiques de l’emploi </w:t>
      </w:r>
      <w:r w:rsidR="005A3FDE" w:rsidRPr="00FD488A">
        <w:t xml:space="preserve">très élevés </w:t>
      </w:r>
      <w:r w:rsidR="00E7255F" w:rsidRPr="00FD488A">
        <w:t>(</w:t>
      </w:r>
      <w:r w:rsidR="005755E6" w:rsidRPr="00FD488A">
        <w:t xml:space="preserve">3,3% </w:t>
      </w:r>
      <w:r w:rsidR="00E7255F" w:rsidRPr="00FD488A">
        <w:t xml:space="preserve">en moyenne entre </w:t>
      </w:r>
      <w:r w:rsidR="005755E6" w:rsidRPr="00FD488A">
        <w:t>1985 et 2009</w:t>
      </w:r>
      <w:r w:rsidR="00E7255F" w:rsidRPr="00FD488A">
        <w:t>), même une relative stagnation de l’emploi aura comme conséquence de faire apparaître des déséquilibres manifestes au niveau de financement du modèle social et une poursuite de la hausse du taux de chômage.</w:t>
      </w:r>
    </w:p>
    <w:p w:rsidR="00772471" w:rsidRPr="00FD488A" w:rsidRDefault="00772471" w:rsidP="00772471">
      <w:pPr>
        <w:pStyle w:val="CC"/>
        <w:ind w:left="360"/>
      </w:pPr>
    </w:p>
    <w:p w:rsidR="00772471" w:rsidRPr="00FD488A" w:rsidRDefault="00E12A59" w:rsidP="00772471">
      <w:pPr>
        <w:pStyle w:val="CC"/>
        <w:numPr>
          <w:ilvl w:val="0"/>
          <w:numId w:val="30"/>
        </w:numPr>
      </w:pPr>
      <w:r w:rsidRPr="00FD488A">
        <w:rPr>
          <w:lang w:val="fr-LU"/>
        </w:rPr>
        <w:t xml:space="preserve">Comme les indicateurs de prévisions le laissaient pressentir dans l’enquête EES2010 menée au cours du mois d’octobre 2009, </w:t>
      </w:r>
      <w:r w:rsidRPr="00FD488A">
        <w:rPr>
          <w:b/>
          <w:i/>
          <w:lang w:val="fr-LU"/>
        </w:rPr>
        <w:t>les</w:t>
      </w:r>
      <w:r w:rsidRPr="00FD488A">
        <w:rPr>
          <w:lang w:val="fr-LU"/>
        </w:rPr>
        <w:t xml:space="preserve"> </w:t>
      </w:r>
      <w:r w:rsidRPr="00FD488A">
        <w:rPr>
          <w:b/>
          <w:i/>
          <w:lang w:val="fr-LU"/>
        </w:rPr>
        <w:t>investissements</w:t>
      </w:r>
      <w:r w:rsidRPr="00FD488A">
        <w:rPr>
          <w:lang w:val="fr-LU"/>
        </w:rPr>
        <w:t xml:space="preserve"> dans les entreprises ont retrouvé le chemin de la croissance </w:t>
      </w:r>
      <w:r w:rsidRPr="00FD488A">
        <w:rPr>
          <w:b/>
          <w:lang w:val="fr-LU"/>
        </w:rPr>
        <w:t>en 2010</w:t>
      </w:r>
      <w:r w:rsidRPr="00FD488A">
        <w:rPr>
          <w:lang w:val="fr-LU"/>
        </w:rPr>
        <w:t xml:space="preserve">. </w:t>
      </w:r>
      <w:r w:rsidR="00772471" w:rsidRPr="00FD488A">
        <w:t>Les niveaux des investissements futurs</w:t>
      </w:r>
      <w:r w:rsidRPr="00FD488A">
        <w:t xml:space="preserve"> </w:t>
      </w:r>
      <w:r w:rsidRPr="00FD488A">
        <w:rPr>
          <w:b/>
        </w:rPr>
        <w:t>en 2011</w:t>
      </w:r>
      <w:r w:rsidR="00772471" w:rsidRPr="00FD488A">
        <w:t xml:space="preserve"> </w:t>
      </w:r>
      <w:r w:rsidR="001E232B">
        <w:t xml:space="preserve">montrent toutefois une </w:t>
      </w:r>
      <w:r w:rsidR="00772471" w:rsidRPr="00FD488A">
        <w:t>grande réserve</w:t>
      </w:r>
      <w:r w:rsidR="005A3FDE" w:rsidRPr="00FD488A">
        <w:t>,</w:t>
      </w:r>
      <w:r w:rsidR="00772471" w:rsidRPr="00FD488A">
        <w:t xml:space="preserve"> alors que le soutien anticyclique aux entreprises locales à travers l’investissement public a été moins prononcé qu’initialement annoncé par le Gouvernement. Ces perspectives mitigées mettent en évidence les réserves, exprimée</w:t>
      </w:r>
      <w:r w:rsidR="005A3FDE" w:rsidRPr="00FD488A">
        <w:t>s</w:t>
      </w:r>
      <w:r w:rsidR="00772471" w:rsidRPr="00FD488A">
        <w:t xml:space="preserve"> par les entreprises, sur la vigueur et / ou la durabilité de la reprise. Or, le plus souvent, ce sont les investissements privés d’une période donnée qui ont un effet d’entraînement sur le niveau d’activité de la période suivante et qui conditionnent le niveau d’emploi de l’avenir. </w:t>
      </w:r>
    </w:p>
    <w:p w:rsidR="0067760F" w:rsidRPr="00FD488A" w:rsidRDefault="0067760F" w:rsidP="00772471">
      <w:pPr>
        <w:pStyle w:val="CDCnormal"/>
        <w:ind w:left="360"/>
      </w:pPr>
    </w:p>
    <w:p w:rsidR="00CB5B13" w:rsidRPr="00FD488A" w:rsidRDefault="007354DE" w:rsidP="000A369F">
      <w:pPr>
        <w:pStyle w:val="CC"/>
        <w:numPr>
          <w:ilvl w:val="0"/>
          <w:numId w:val="30"/>
        </w:numPr>
        <w:rPr>
          <w:rFonts w:cs="Arial"/>
          <w:b/>
          <w:szCs w:val="22"/>
          <w:u w:val="single"/>
        </w:rPr>
      </w:pPr>
      <w:r w:rsidRPr="00FD488A">
        <w:rPr>
          <w:b/>
        </w:rPr>
        <w:t>L’enquête européenne</w:t>
      </w:r>
      <w:r w:rsidRPr="00FD488A">
        <w:t xml:space="preserve"> semble indiquer que « le pire</w:t>
      </w:r>
      <w:r w:rsidR="00CD4E31" w:rsidRPr="00FD488A">
        <w:t xml:space="preserve"> </w:t>
      </w:r>
      <w:r w:rsidRPr="00FD488A">
        <w:t>est passé</w:t>
      </w:r>
      <w:r w:rsidR="00CD4E31" w:rsidRPr="00FD488A">
        <w:t xml:space="preserve"> »</w:t>
      </w:r>
      <w:r w:rsidR="005A3FDE" w:rsidRPr="00FD488A">
        <w:t>,</w:t>
      </w:r>
      <w:r w:rsidRPr="00FD488A">
        <w:t xml:space="preserve"> mais les indicateurs de confiance, pour l’année qui arrive à son terme </w:t>
      </w:r>
      <w:r w:rsidR="005A3FDE" w:rsidRPr="00FD488A">
        <w:t>et</w:t>
      </w:r>
      <w:r w:rsidRPr="00FD488A">
        <w:t xml:space="preserve"> pour 2011, restent en deçà de leurs niveaux d’avant crise.</w:t>
      </w:r>
      <w:r w:rsidRPr="00FD488A">
        <w:rPr>
          <w:szCs w:val="22"/>
        </w:rPr>
        <w:t xml:space="preserve"> </w:t>
      </w:r>
      <w:r w:rsidRPr="00FD488A">
        <w:t xml:space="preserve">Il subsiste en effet certaines incertitudes liées à l’arrêt des mesures de relance, à la mise en place de mesures fiscales visant l’assainissement budgétaire dans le cadre des nouvelles dispositions européennes de renforcement de la gouvernance économique ainsi qu’en raison de l’accès aux crédits, considéré comme trop restrictif par les entreprises de plusieurs Etats membres. En Allemagne, les entreprises apparaissent des plus optimistes dans </w:t>
      </w:r>
      <w:r w:rsidR="005A3FDE" w:rsidRPr="00FD488A">
        <w:t>l’</w:t>
      </w:r>
      <w:r w:rsidRPr="00FD488A">
        <w:t>enquête EES2011. Ces résultats se traduisent dans les prévisions macroéconomiques puisqu’une croissance de 3,7% pour 2010 et de 2,2% pour 2011 est attendue, ce qui fait de l'</w:t>
      </w:r>
      <w:r w:rsidR="00F420B6">
        <w:t>Allemagne – un des seuls pays européens à avoir entrepris des réformes structurelles à temps -</w:t>
      </w:r>
      <w:r w:rsidRPr="00FD488A">
        <w:t xml:space="preserve"> la locomotive de la reprise européenne</w:t>
      </w:r>
      <w:r w:rsidR="005A3FDE" w:rsidRPr="00FD488A">
        <w:t>.</w:t>
      </w:r>
      <w:r w:rsidRPr="00FD488A">
        <w:t xml:space="preserve"> </w:t>
      </w:r>
    </w:p>
    <w:p w:rsidR="006F61DF" w:rsidRDefault="006F61DF" w:rsidP="00BD7CEB">
      <w:pPr>
        <w:rPr>
          <w:rFonts w:ascii="Arial" w:hAnsi="Arial" w:cs="Arial"/>
          <w:b/>
          <w:sz w:val="22"/>
          <w:szCs w:val="22"/>
          <w:u w:val="single"/>
          <w:lang w:val="fr-FR"/>
        </w:rPr>
      </w:pPr>
    </w:p>
    <w:p w:rsidR="006F61DF" w:rsidRDefault="006F61DF" w:rsidP="00BD7CEB">
      <w:pPr>
        <w:rPr>
          <w:rFonts w:ascii="Arial" w:hAnsi="Arial" w:cs="Arial"/>
          <w:b/>
          <w:sz w:val="22"/>
          <w:szCs w:val="22"/>
          <w:u w:val="single"/>
          <w:lang w:val="fr-FR"/>
        </w:rPr>
      </w:pPr>
    </w:p>
    <w:p w:rsidR="00F16034" w:rsidRDefault="00F16034" w:rsidP="00BD7CEB">
      <w:pPr>
        <w:rPr>
          <w:rFonts w:ascii="Arial" w:hAnsi="Arial" w:cs="Arial"/>
          <w:b/>
          <w:sz w:val="22"/>
          <w:szCs w:val="22"/>
          <w:u w:val="single"/>
          <w:lang w:val="fr-FR"/>
        </w:rPr>
      </w:pPr>
    </w:p>
    <w:p w:rsidR="00C1528C" w:rsidRDefault="00C1528C" w:rsidP="00BD7CEB">
      <w:pPr>
        <w:rPr>
          <w:rFonts w:ascii="Arial" w:hAnsi="Arial" w:cs="Arial"/>
          <w:b/>
          <w:sz w:val="22"/>
          <w:szCs w:val="22"/>
          <w:u w:val="single"/>
          <w:lang w:val="fr-FR"/>
        </w:rPr>
      </w:pPr>
    </w:p>
    <w:p w:rsidR="00BD7CEB" w:rsidRPr="00602551" w:rsidRDefault="00BD7CEB" w:rsidP="00BD7CEB">
      <w:pPr>
        <w:rPr>
          <w:rFonts w:ascii="Arial" w:hAnsi="Arial" w:cs="Arial"/>
          <w:b/>
          <w:sz w:val="22"/>
          <w:szCs w:val="22"/>
          <w:u w:val="single"/>
          <w:lang w:val="fr-FR"/>
        </w:rPr>
      </w:pPr>
      <w:r w:rsidRPr="00602551">
        <w:rPr>
          <w:rFonts w:ascii="Arial" w:hAnsi="Arial" w:cs="Arial"/>
          <w:b/>
          <w:sz w:val="22"/>
          <w:szCs w:val="22"/>
          <w:u w:val="single"/>
          <w:lang w:val="fr-FR"/>
        </w:rPr>
        <w:t>Méthodologie</w:t>
      </w:r>
    </w:p>
    <w:p w:rsidR="009943D3" w:rsidRPr="009943D3" w:rsidRDefault="009943D3" w:rsidP="009943D3">
      <w:pPr>
        <w:suppressAutoHyphens/>
        <w:jc w:val="both"/>
        <w:rPr>
          <w:rFonts w:ascii="Arial" w:hAnsi="Arial" w:cs="Arial"/>
          <w:kern w:val="1"/>
          <w:sz w:val="22"/>
          <w:szCs w:val="22"/>
          <w:lang w:val="fr-FR"/>
        </w:rPr>
      </w:pPr>
    </w:p>
    <w:p w:rsidR="00F16034" w:rsidRDefault="009943D3" w:rsidP="009943D3">
      <w:pPr>
        <w:suppressAutoHyphens/>
        <w:jc w:val="both"/>
        <w:rPr>
          <w:rFonts w:ascii="Arial" w:hAnsi="Arial" w:cs="Arial"/>
          <w:kern w:val="1"/>
          <w:sz w:val="22"/>
          <w:szCs w:val="22"/>
          <w:lang w:val="fr-FR"/>
        </w:rPr>
      </w:pPr>
      <w:r w:rsidRPr="009943D3">
        <w:rPr>
          <w:rFonts w:ascii="Arial" w:hAnsi="Arial" w:cs="Arial"/>
          <w:kern w:val="1"/>
          <w:sz w:val="22"/>
          <w:szCs w:val="22"/>
          <w:lang w:val="fr-FR"/>
        </w:rPr>
        <w:t xml:space="preserve">L'objectif de </w:t>
      </w:r>
      <w:r>
        <w:rPr>
          <w:rFonts w:ascii="Arial" w:hAnsi="Arial" w:cs="Arial"/>
          <w:kern w:val="1"/>
          <w:sz w:val="22"/>
          <w:szCs w:val="22"/>
          <w:lang w:val="fr-FR"/>
        </w:rPr>
        <w:t>cette 18</w:t>
      </w:r>
      <w:r w:rsidRPr="00C02600">
        <w:rPr>
          <w:rFonts w:ascii="Arial" w:hAnsi="Arial" w:cs="Arial"/>
          <w:kern w:val="1"/>
          <w:sz w:val="22"/>
          <w:szCs w:val="22"/>
          <w:vertAlign w:val="superscript"/>
          <w:lang w:val="fr-FR"/>
        </w:rPr>
        <w:t>ème</w:t>
      </w:r>
      <w:r>
        <w:rPr>
          <w:rFonts w:ascii="Arial" w:hAnsi="Arial" w:cs="Arial"/>
          <w:kern w:val="1"/>
          <w:sz w:val="22"/>
          <w:szCs w:val="22"/>
          <w:lang w:val="fr-FR"/>
        </w:rPr>
        <w:t xml:space="preserve"> </w:t>
      </w:r>
      <w:r w:rsidRPr="009943D3">
        <w:rPr>
          <w:rFonts w:ascii="Arial" w:hAnsi="Arial" w:cs="Arial"/>
          <w:kern w:val="1"/>
          <w:sz w:val="22"/>
          <w:szCs w:val="22"/>
          <w:lang w:val="fr-FR"/>
        </w:rPr>
        <w:t xml:space="preserve">enquête Eurochambres (EES2011) est d’apprécier l'évolution des principaux indicateurs de la vie économique en 2010 et d’avoir connaissance des prévisions des entreprises pour l’année 2011. </w:t>
      </w:r>
      <w:r w:rsidR="00C02600">
        <w:rPr>
          <w:rFonts w:ascii="Arial" w:hAnsi="Arial" w:cs="Arial"/>
          <w:kern w:val="1"/>
          <w:sz w:val="22"/>
          <w:szCs w:val="22"/>
          <w:lang w:val="fr-FR"/>
        </w:rPr>
        <w:t>L</w:t>
      </w:r>
      <w:r w:rsidRPr="009943D3">
        <w:rPr>
          <w:rFonts w:ascii="Arial" w:hAnsi="Arial" w:cs="Arial"/>
          <w:kern w:val="1"/>
          <w:sz w:val="22"/>
          <w:szCs w:val="22"/>
          <w:lang w:val="fr-FR"/>
        </w:rPr>
        <w:t xml:space="preserve">’enquête est réalisée dans </w:t>
      </w:r>
      <w:r w:rsidR="00D21F4F">
        <w:rPr>
          <w:rFonts w:ascii="Arial" w:hAnsi="Arial" w:cs="Arial"/>
          <w:kern w:val="1"/>
          <w:sz w:val="22"/>
          <w:szCs w:val="22"/>
          <w:lang w:val="fr-FR"/>
        </w:rPr>
        <w:t xml:space="preserve">presque </w:t>
      </w:r>
      <w:r w:rsidRPr="009943D3">
        <w:rPr>
          <w:rFonts w:ascii="Arial" w:hAnsi="Arial" w:cs="Arial"/>
          <w:kern w:val="1"/>
          <w:sz w:val="22"/>
          <w:szCs w:val="22"/>
          <w:lang w:val="fr-FR"/>
        </w:rPr>
        <w:t>tous les pays de l’Union européenne</w:t>
      </w:r>
      <w:r w:rsidRPr="009943D3">
        <w:rPr>
          <w:rFonts w:ascii="Arial" w:hAnsi="Arial" w:cs="Arial"/>
          <w:kern w:val="1"/>
          <w:sz w:val="22"/>
          <w:szCs w:val="22"/>
          <w:vertAlign w:val="superscript"/>
          <w:lang w:val="fr-FR"/>
        </w:rPr>
        <w:footnoteReference w:id="2"/>
      </w:r>
      <w:r w:rsidRPr="009943D3">
        <w:rPr>
          <w:rFonts w:ascii="Arial" w:hAnsi="Arial" w:cs="Arial"/>
          <w:kern w:val="1"/>
          <w:sz w:val="22"/>
          <w:szCs w:val="22"/>
          <w:lang w:val="fr-FR"/>
        </w:rPr>
        <w:t>.</w:t>
      </w:r>
    </w:p>
    <w:p w:rsidR="00F16034" w:rsidRDefault="00F16034" w:rsidP="009943D3">
      <w:pPr>
        <w:suppressAutoHyphens/>
        <w:jc w:val="both"/>
        <w:rPr>
          <w:rFonts w:ascii="Arial" w:hAnsi="Arial" w:cs="Arial"/>
          <w:kern w:val="1"/>
          <w:sz w:val="22"/>
          <w:szCs w:val="22"/>
          <w:lang w:val="fr-FR"/>
        </w:rPr>
      </w:pPr>
    </w:p>
    <w:p w:rsidR="009943D3" w:rsidRPr="009943D3" w:rsidRDefault="009943D3" w:rsidP="009943D3">
      <w:pPr>
        <w:suppressAutoHyphens/>
        <w:jc w:val="both"/>
        <w:rPr>
          <w:rFonts w:ascii="Arial" w:hAnsi="Arial" w:cs="Arial"/>
          <w:kern w:val="1"/>
          <w:sz w:val="22"/>
          <w:szCs w:val="22"/>
          <w:lang w:val="fr-FR"/>
        </w:rPr>
      </w:pPr>
      <w:r w:rsidRPr="009943D3">
        <w:rPr>
          <w:rFonts w:ascii="Arial" w:hAnsi="Arial" w:cs="Arial"/>
          <w:kern w:val="1"/>
          <w:sz w:val="22"/>
          <w:szCs w:val="22"/>
          <w:lang w:val="fr-FR"/>
        </w:rPr>
        <w:t>La Chambre de Commerce réalise l’enquête Eurochambres 2011 au Grand-Duché de Luxembourg, en collaboration avec TNS-</w:t>
      </w:r>
      <w:proofErr w:type="spellStart"/>
      <w:r w:rsidRPr="009943D3">
        <w:rPr>
          <w:rFonts w:ascii="Arial" w:hAnsi="Arial" w:cs="Arial"/>
          <w:kern w:val="1"/>
          <w:sz w:val="22"/>
          <w:szCs w:val="22"/>
          <w:lang w:val="fr-FR"/>
        </w:rPr>
        <w:t>Ilres</w:t>
      </w:r>
      <w:proofErr w:type="spellEnd"/>
      <w:r w:rsidRPr="009943D3">
        <w:rPr>
          <w:rFonts w:ascii="Arial" w:hAnsi="Arial" w:cs="Arial"/>
          <w:kern w:val="1"/>
          <w:sz w:val="22"/>
          <w:szCs w:val="22"/>
          <w:lang w:val="fr-FR"/>
        </w:rPr>
        <w:t xml:space="preserve">, qui a effectué la collecte des données par téléphone au cours des deux premières semaines d'octobre 2010. </w:t>
      </w:r>
    </w:p>
    <w:p w:rsidR="009943D3" w:rsidRPr="009943D3" w:rsidRDefault="009943D3" w:rsidP="009943D3">
      <w:pPr>
        <w:suppressAutoHyphens/>
        <w:jc w:val="both"/>
        <w:rPr>
          <w:rFonts w:ascii="Arial" w:hAnsi="Arial" w:cs="Arial"/>
          <w:kern w:val="1"/>
          <w:sz w:val="22"/>
          <w:szCs w:val="22"/>
          <w:lang w:val="fr-FR"/>
        </w:rPr>
      </w:pPr>
    </w:p>
    <w:p w:rsidR="009943D3" w:rsidRPr="009943D3" w:rsidRDefault="009943D3" w:rsidP="009943D3">
      <w:pPr>
        <w:suppressAutoHyphens/>
        <w:jc w:val="both"/>
        <w:rPr>
          <w:rFonts w:ascii="Arial" w:hAnsi="Arial" w:cs="Arial"/>
          <w:kern w:val="1"/>
          <w:sz w:val="22"/>
          <w:szCs w:val="22"/>
          <w:lang w:val="fr-FR"/>
        </w:rPr>
      </w:pPr>
      <w:r w:rsidRPr="009943D3">
        <w:rPr>
          <w:rFonts w:ascii="Arial" w:hAnsi="Arial" w:cs="Arial"/>
          <w:kern w:val="1"/>
          <w:sz w:val="22"/>
          <w:szCs w:val="22"/>
          <w:lang w:val="fr-FR"/>
        </w:rPr>
        <w:t>Le panel de départ comptait 1.119 entreprises du secteur industriel et manufacturier ainsi que du secteur des services. Les entreprises interrogées sont réparties selon la nomenclature européenne NACE (données de janvier 2009). Sept catégories d’activité sont répertoriées</w:t>
      </w:r>
      <w:r w:rsidR="005A3FDE">
        <w:rPr>
          <w:rFonts w:ascii="Arial" w:hAnsi="Arial" w:cs="Arial"/>
          <w:kern w:val="1"/>
          <w:sz w:val="22"/>
          <w:szCs w:val="22"/>
          <w:lang w:val="fr-FR"/>
        </w:rPr>
        <w:t xml:space="preserve"> (cf. tableau 1)</w:t>
      </w:r>
      <w:r w:rsidRPr="009943D3">
        <w:rPr>
          <w:rFonts w:ascii="Arial" w:hAnsi="Arial" w:cs="Arial"/>
          <w:kern w:val="1"/>
          <w:sz w:val="22"/>
          <w:szCs w:val="22"/>
          <w:lang w:val="fr-FR"/>
        </w:rPr>
        <w:t xml:space="preserve"> au sein des deux secteurs, industriel et manufacturier d’un côté (codes A, B, C et G), des services de l’autre (codes D, E et F). </w:t>
      </w:r>
    </w:p>
    <w:p w:rsidR="009943D3" w:rsidRPr="009943D3" w:rsidRDefault="009943D3" w:rsidP="009943D3">
      <w:pPr>
        <w:suppressAutoHyphens/>
        <w:jc w:val="both"/>
        <w:rPr>
          <w:rFonts w:ascii="Arial" w:hAnsi="Arial" w:cs="Arial"/>
          <w:kern w:val="1"/>
          <w:sz w:val="22"/>
          <w:szCs w:val="22"/>
          <w:lang w:val="fr-LU"/>
        </w:rPr>
      </w:pPr>
    </w:p>
    <w:p w:rsidR="009943D3" w:rsidRPr="009943D3" w:rsidRDefault="009943D3" w:rsidP="009943D3">
      <w:pPr>
        <w:suppressAutoHyphens/>
        <w:jc w:val="both"/>
        <w:rPr>
          <w:rFonts w:ascii="Arial" w:hAnsi="Arial" w:cs="Arial"/>
          <w:kern w:val="1"/>
          <w:sz w:val="22"/>
          <w:szCs w:val="22"/>
          <w:lang w:val="fr-FR"/>
        </w:rPr>
      </w:pPr>
      <w:r w:rsidRPr="009943D3">
        <w:rPr>
          <w:rFonts w:ascii="Arial" w:hAnsi="Arial" w:cs="Arial"/>
          <w:kern w:val="1"/>
          <w:sz w:val="22"/>
          <w:szCs w:val="22"/>
          <w:lang w:val="fr-FR"/>
        </w:rPr>
        <w:t xml:space="preserve">Sur l’ensemble des entreprises interrogées, 821 ont répondu au questionnaire 2011, ce qui représente un taux de réponse de 73,4% (taux de 73,7% dans l’édition précédente EES2010). L’échantillon, qui inclut les entreprises d’au moins 10 salariés, est représentatif de tous les secteurs de l’économie luxembourgeoise, exception faite de l’agriculture, de la santé et de l’administration. </w:t>
      </w:r>
    </w:p>
    <w:p w:rsidR="009943D3" w:rsidRPr="009943D3" w:rsidRDefault="009943D3" w:rsidP="009943D3">
      <w:pPr>
        <w:suppressAutoHyphens/>
        <w:jc w:val="both"/>
        <w:rPr>
          <w:rFonts w:ascii="Arial" w:hAnsi="Arial" w:cs="Arial"/>
          <w:kern w:val="1"/>
          <w:sz w:val="22"/>
          <w:szCs w:val="22"/>
          <w:lang w:val="fr-FR"/>
        </w:rPr>
      </w:pPr>
    </w:p>
    <w:p w:rsidR="009943D3" w:rsidRPr="009943D3" w:rsidRDefault="009943D3" w:rsidP="009943D3">
      <w:pPr>
        <w:suppressAutoHyphens/>
        <w:jc w:val="both"/>
        <w:rPr>
          <w:rFonts w:ascii="Arial" w:hAnsi="Arial" w:cs="Arial"/>
          <w:kern w:val="1"/>
          <w:sz w:val="22"/>
          <w:szCs w:val="22"/>
          <w:lang w:val="fr-FR"/>
        </w:rPr>
      </w:pPr>
      <w:r w:rsidRPr="009943D3">
        <w:rPr>
          <w:rFonts w:ascii="Arial" w:hAnsi="Arial" w:cs="Arial"/>
          <w:kern w:val="1"/>
          <w:sz w:val="22"/>
          <w:szCs w:val="22"/>
          <w:lang w:val="fr-FR"/>
        </w:rPr>
        <w:t>L’économie du Luxembourg se compose principalement de petites et moyennes entreprises. Afin d’en donner une idée la plus pertinente et la plus réelle possible, les résultats ont été pondérés par un coefficient qui prend en compte les secteurs d’activité (divisés en 7 catégories de la nomenclature européenne NACE-REV) ainsi que le nombre de salariés répartis en 6 catégories. Les résultats sont ainsi supposés s’appliquer à toute société luxembourgeoise correspondant aux critères de l’étude.</w:t>
      </w:r>
    </w:p>
    <w:p w:rsidR="00647B4B" w:rsidRDefault="00647B4B" w:rsidP="00B363DA">
      <w:pPr>
        <w:pStyle w:val="BodyText"/>
        <w:spacing w:after="0"/>
        <w:jc w:val="both"/>
        <w:rPr>
          <w:rFonts w:ascii="Arial" w:hAnsi="Arial" w:cs="Arial"/>
          <w:sz w:val="22"/>
          <w:szCs w:val="22"/>
          <w:lang w:val="fr-FR"/>
        </w:rPr>
      </w:pPr>
    </w:p>
    <w:p w:rsidR="005A3FDE" w:rsidRPr="009943D3" w:rsidRDefault="005A3FDE" w:rsidP="005A3FDE">
      <w:pPr>
        <w:suppressAutoHyphens/>
        <w:jc w:val="both"/>
        <w:rPr>
          <w:rFonts w:ascii="Arial" w:hAnsi="Arial" w:cs="Arial"/>
          <w:b/>
          <w:bCs/>
          <w:kern w:val="1"/>
          <w:sz w:val="22"/>
          <w:szCs w:val="22"/>
          <w:lang w:val="fr-FR"/>
        </w:rPr>
      </w:pPr>
      <w:r w:rsidRPr="009943D3">
        <w:rPr>
          <w:rFonts w:ascii="Arial" w:hAnsi="Arial" w:cs="Arial"/>
          <w:b/>
          <w:bCs/>
          <w:kern w:val="1"/>
          <w:sz w:val="22"/>
          <w:szCs w:val="22"/>
          <w:lang w:val="fr-LU"/>
        </w:rPr>
        <w:t xml:space="preserve">Tableau </w:t>
      </w:r>
      <w:r w:rsidR="00DA6787" w:rsidRPr="00DA6787">
        <w:rPr>
          <w:rFonts w:ascii="Arial" w:hAnsi="Arial" w:cs="Arial"/>
          <w:b/>
          <w:bCs/>
          <w:kern w:val="1"/>
          <w:sz w:val="22"/>
          <w:szCs w:val="22"/>
        </w:rPr>
        <w:fldChar w:fldCharType="begin"/>
      </w:r>
      <w:r w:rsidRPr="009943D3">
        <w:rPr>
          <w:rFonts w:ascii="Arial" w:hAnsi="Arial" w:cs="Arial"/>
          <w:b/>
          <w:bCs/>
          <w:kern w:val="1"/>
          <w:sz w:val="22"/>
          <w:szCs w:val="22"/>
          <w:lang w:val="fr-LU"/>
        </w:rPr>
        <w:instrText xml:space="preserve"> SEQ Tableau \* ARABIC </w:instrText>
      </w:r>
      <w:r w:rsidR="00DA6787" w:rsidRPr="00DA6787">
        <w:rPr>
          <w:rFonts w:ascii="Arial" w:hAnsi="Arial" w:cs="Arial"/>
          <w:b/>
          <w:bCs/>
          <w:kern w:val="1"/>
          <w:sz w:val="22"/>
          <w:szCs w:val="22"/>
        </w:rPr>
        <w:fldChar w:fldCharType="separate"/>
      </w:r>
      <w:r w:rsidR="00732575">
        <w:rPr>
          <w:rFonts w:ascii="Arial" w:hAnsi="Arial" w:cs="Arial"/>
          <w:b/>
          <w:bCs/>
          <w:noProof/>
          <w:kern w:val="1"/>
          <w:sz w:val="22"/>
          <w:szCs w:val="22"/>
          <w:lang w:val="fr-LU"/>
        </w:rPr>
        <w:t>1</w:t>
      </w:r>
      <w:r w:rsidR="00DA6787" w:rsidRPr="009943D3">
        <w:rPr>
          <w:rFonts w:ascii="Arial" w:hAnsi="Arial" w:cs="Arial"/>
          <w:kern w:val="1"/>
          <w:sz w:val="22"/>
          <w:szCs w:val="22"/>
          <w:lang w:val="fr-FR"/>
        </w:rPr>
        <w:fldChar w:fldCharType="end"/>
      </w:r>
      <w:r w:rsidRPr="009943D3">
        <w:rPr>
          <w:rFonts w:ascii="Arial" w:hAnsi="Arial" w:cs="Arial"/>
          <w:b/>
          <w:bCs/>
          <w:kern w:val="1"/>
          <w:sz w:val="22"/>
          <w:szCs w:val="22"/>
          <w:lang w:val="fr-LU"/>
        </w:rPr>
        <w:t xml:space="preserve"> : Catégories </w:t>
      </w:r>
      <w:r w:rsidRPr="009943D3">
        <w:rPr>
          <w:rFonts w:ascii="Arial" w:hAnsi="Arial" w:cs="Arial"/>
          <w:b/>
          <w:bCs/>
          <w:kern w:val="1"/>
          <w:sz w:val="22"/>
          <w:szCs w:val="22"/>
          <w:lang w:val="fr-FR"/>
        </w:rPr>
        <w:t xml:space="preserve">répertoriées au sein des deux secteurs, industriel et manufacturier d’un côté, des services de l’autre </w:t>
      </w:r>
    </w:p>
    <w:p w:rsidR="005A3FDE" w:rsidRPr="009943D3" w:rsidRDefault="005A3FDE" w:rsidP="005A3FDE">
      <w:pPr>
        <w:suppressAutoHyphens/>
        <w:jc w:val="both"/>
        <w:rPr>
          <w:rFonts w:ascii="Arial" w:hAnsi="Arial" w:cs="Arial"/>
          <w:kern w:val="1"/>
          <w:sz w:val="22"/>
          <w:szCs w:val="22"/>
          <w:lang w:val="fr-FR"/>
        </w:rPr>
      </w:pPr>
    </w:p>
    <w:tbl>
      <w:tblPr>
        <w:tblStyle w:val="LightList-Accent4"/>
        <w:tblW w:w="0" w:type="auto"/>
        <w:tblLook w:val="04A0"/>
      </w:tblPr>
      <w:tblGrid>
        <w:gridCol w:w="4606"/>
        <w:gridCol w:w="5000"/>
      </w:tblGrid>
      <w:tr w:rsidR="005A3FDE" w:rsidRPr="009943D3" w:rsidTr="00F16034">
        <w:trPr>
          <w:cnfStyle w:val="100000000000"/>
        </w:trPr>
        <w:tc>
          <w:tcPr>
            <w:cnfStyle w:val="001000000000"/>
            <w:tcW w:w="4606" w:type="dxa"/>
            <w:tcBorders>
              <w:top w:val="single" w:sz="4" w:space="0" w:color="auto"/>
              <w:left w:val="single" w:sz="4" w:space="0" w:color="auto"/>
              <w:bottom w:val="single" w:sz="8" w:space="0" w:color="8064A2" w:themeColor="accent4"/>
              <w:right w:val="single" w:sz="4" w:space="0" w:color="auto"/>
            </w:tcBorders>
          </w:tcPr>
          <w:p w:rsidR="005A3FDE" w:rsidRPr="009943D3" w:rsidRDefault="005A3FDE" w:rsidP="005A3FDE">
            <w:pPr>
              <w:suppressAutoHyphens/>
              <w:jc w:val="both"/>
              <w:rPr>
                <w:rFonts w:ascii="Arial" w:hAnsi="Arial" w:cs="Arial"/>
                <w:kern w:val="1"/>
                <w:sz w:val="22"/>
                <w:szCs w:val="22"/>
                <w:lang w:val="fr-FR"/>
              </w:rPr>
            </w:pPr>
            <w:r w:rsidRPr="009943D3">
              <w:rPr>
                <w:rFonts w:ascii="Arial" w:hAnsi="Arial" w:cs="Arial"/>
                <w:kern w:val="1"/>
                <w:sz w:val="22"/>
                <w:szCs w:val="22"/>
                <w:lang w:val="fr-FR"/>
              </w:rPr>
              <w:t>Secteur industriel et manufacturier</w:t>
            </w:r>
          </w:p>
        </w:tc>
        <w:tc>
          <w:tcPr>
            <w:tcW w:w="5000" w:type="dxa"/>
            <w:tcBorders>
              <w:top w:val="single" w:sz="4" w:space="0" w:color="auto"/>
              <w:left w:val="single" w:sz="4" w:space="0" w:color="auto"/>
              <w:right w:val="single" w:sz="4" w:space="0" w:color="auto"/>
            </w:tcBorders>
          </w:tcPr>
          <w:p w:rsidR="005A3FDE" w:rsidRPr="009943D3" w:rsidRDefault="005A3FDE" w:rsidP="005A3FDE">
            <w:pPr>
              <w:suppressAutoHyphens/>
              <w:jc w:val="both"/>
              <w:cnfStyle w:val="100000000000"/>
              <w:rPr>
                <w:rFonts w:ascii="Arial" w:hAnsi="Arial" w:cs="Arial"/>
                <w:kern w:val="1"/>
                <w:sz w:val="22"/>
                <w:szCs w:val="22"/>
                <w:lang w:val="fr-FR"/>
              </w:rPr>
            </w:pPr>
            <w:r w:rsidRPr="009943D3">
              <w:rPr>
                <w:rFonts w:ascii="Arial" w:hAnsi="Arial" w:cs="Arial"/>
                <w:kern w:val="1"/>
                <w:sz w:val="22"/>
                <w:szCs w:val="22"/>
                <w:lang w:val="fr-FR"/>
              </w:rPr>
              <w:t>Secteur des services</w:t>
            </w:r>
          </w:p>
          <w:p w:rsidR="005A3FDE" w:rsidRPr="009943D3" w:rsidRDefault="005A3FDE" w:rsidP="005A3FDE">
            <w:pPr>
              <w:suppressAutoHyphens/>
              <w:jc w:val="both"/>
              <w:cnfStyle w:val="100000000000"/>
              <w:rPr>
                <w:rFonts w:ascii="Arial" w:hAnsi="Arial" w:cs="Arial"/>
                <w:kern w:val="1"/>
                <w:sz w:val="22"/>
                <w:szCs w:val="22"/>
                <w:lang w:val="fr-FR"/>
              </w:rPr>
            </w:pPr>
          </w:p>
        </w:tc>
      </w:tr>
      <w:tr w:rsidR="005A3FDE" w:rsidRPr="00D21F4F" w:rsidTr="00F16034">
        <w:trPr>
          <w:cnfStyle w:val="000000100000"/>
        </w:trPr>
        <w:tc>
          <w:tcPr>
            <w:cnfStyle w:val="001000000000"/>
            <w:tcW w:w="4606" w:type="dxa"/>
            <w:tcBorders>
              <w:left w:val="single" w:sz="4" w:space="0" w:color="auto"/>
              <w:right w:val="single" w:sz="4" w:space="0" w:color="auto"/>
            </w:tcBorders>
            <w:vAlign w:val="center"/>
          </w:tcPr>
          <w:p w:rsidR="005A3FDE" w:rsidRPr="009943D3" w:rsidRDefault="005A3FDE" w:rsidP="005A3FDE">
            <w:pPr>
              <w:suppressAutoHyphens/>
              <w:jc w:val="both"/>
              <w:rPr>
                <w:rFonts w:ascii="Arial" w:hAnsi="Arial" w:cs="Arial"/>
                <w:kern w:val="1"/>
                <w:sz w:val="22"/>
                <w:szCs w:val="22"/>
                <w:lang w:val="fr-FR"/>
              </w:rPr>
            </w:pPr>
            <w:r w:rsidRPr="009943D3">
              <w:rPr>
                <w:rFonts w:ascii="Arial" w:hAnsi="Arial" w:cs="Arial"/>
                <w:kern w:val="1"/>
                <w:sz w:val="22"/>
                <w:szCs w:val="22"/>
                <w:lang w:val="fr-FR"/>
              </w:rPr>
              <w:t xml:space="preserve">A : </w:t>
            </w:r>
            <w:r w:rsidRPr="00E70DD4">
              <w:rPr>
                <w:rFonts w:ascii="Arial" w:hAnsi="Arial" w:cs="Arial"/>
                <w:b w:val="0"/>
                <w:kern w:val="1"/>
                <w:sz w:val="22"/>
                <w:szCs w:val="22"/>
                <w:lang w:val="fr-FR"/>
              </w:rPr>
              <w:t>« Fabrication de produits métalliques, machines et matériel de transport »</w:t>
            </w:r>
          </w:p>
        </w:tc>
        <w:tc>
          <w:tcPr>
            <w:tcW w:w="5000" w:type="dxa"/>
            <w:tcBorders>
              <w:left w:val="single" w:sz="4" w:space="0" w:color="auto"/>
              <w:right w:val="single" w:sz="4" w:space="0" w:color="auto"/>
            </w:tcBorders>
            <w:vAlign w:val="center"/>
          </w:tcPr>
          <w:p w:rsidR="005A3FDE" w:rsidRPr="009943D3" w:rsidRDefault="005A3FDE" w:rsidP="005A3FDE">
            <w:pPr>
              <w:suppressAutoHyphens/>
              <w:jc w:val="both"/>
              <w:cnfStyle w:val="000000100000"/>
              <w:rPr>
                <w:rFonts w:ascii="Arial" w:hAnsi="Arial" w:cs="Arial"/>
                <w:kern w:val="1"/>
                <w:sz w:val="22"/>
                <w:szCs w:val="22"/>
                <w:lang w:val="fr-FR"/>
              </w:rPr>
            </w:pPr>
            <w:r w:rsidRPr="009943D3">
              <w:rPr>
                <w:rFonts w:ascii="Arial" w:hAnsi="Arial" w:cs="Arial"/>
                <w:b/>
                <w:kern w:val="1"/>
                <w:sz w:val="22"/>
                <w:szCs w:val="22"/>
                <w:lang w:val="fr-FR"/>
              </w:rPr>
              <w:t>D</w:t>
            </w:r>
            <w:r w:rsidRPr="009943D3">
              <w:rPr>
                <w:rFonts w:ascii="Arial" w:hAnsi="Arial" w:cs="Arial"/>
                <w:kern w:val="1"/>
                <w:sz w:val="22"/>
                <w:szCs w:val="22"/>
                <w:lang w:val="fr-FR"/>
              </w:rPr>
              <w:t> : « Vente en gros et détail, réparations, hôtels, restaurants » </w:t>
            </w:r>
          </w:p>
        </w:tc>
      </w:tr>
      <w:tr w:rsidR="005A3FDE" w:rsidRPr="00D21F4F" w:rsidTr="00F16034">
        <w:tc>
          <w:tcPr>
            <w:cnfStyle w:val="001000000000"/>
            <w:tcW w:w="4606" w:type="dxa"/>
            <w:tcBorders>
              <w:top w:val="single" w:sz="8" w:space="0" w:color="8064A2" w:themeColor="accent4"/>
              <w:left w:val="single" w:sz="4" w:space="0" w:color="auto"/>
              <w:bottom w:val="single" w:sz="8" w:space="0" w:color="8064A2" w:themeColor="accent4"/>
              <w:right w:val="single" w:sz="4" w:space="0" w:color="auto"/>
            </w:tcBorders>
            <w:vAlign w:val="center"/>
          </w:tcPr>
          <w:p w:rsidR="005A3FDE" w:rsidRPr="009943D3" w:rsidRDefault="005A3FDE" w:rsidP="005A3FDE">
            <w:pPr>
              <w:suppressAutoHyphens/>
              <w:jc w:val="both"/>
              <w:rPr>
                <w:rFonts w:ascii="Arial" w:hAnsi="Arial" w:cs="Arial"/>
                <w:kern w:val="1"/>
                <w:sz w:val="22"/>
                <w:szCs w:val="22"/>
                <w:lang w:val="fr-FR"/>
              </w:rPr>
            </w:pPr>
            <w:r w:rsidRPr="009943D3">
              <w:rPr>
                <w:rFonts w:ascii="Arial" w:hAnsi="Arial" w:cs="Arial"/>
                <w:kern w:val="1"/>
                <w:sz w:val="22"/>
                <w:szCs w:val="22"/>
                <w:lang w:val="fr-FR"/>
              </w:rPr>
              <w:t xml:space="preserve">B : </w:t>
            </w:r>
            <w:r w:rsidRPr="00E70DD4">
              <w:rPr>
                <w:rFonts w:ascii="Arial" w:hAnsi="Arial" w:cs="Arial"/>
                <w:b w:val="0"/>
                <w:kern w:val="1"/>
                <w:sz w:val="22"/>
                <w:szCs w:val="22"/>
                <w:lang w:val="fr-FR"/>
              </w:rPr>
              <w:t>« Autres industries manufacturières »</w:t>
            </w:r>
          </w:p>
        </w:tc>
        <w:tc>
          <w:tcPr>
            <w:tcW w:w="5000" w:type="dxa"/>
            <w:tcBorders>
              <w:left w:val="single" w:sz="4" w:space="0" w:color="auto"/>
              <w:right w:val="single" w:sz="4" w:space="0" w:color="auto"/>
            </w:tcBorders>
            <w:vAlign w:val="center"/>
          </w:tcPr>
          <w:p w:rsidR="005A3FDE" w:rsidRPr="009943D3" w:rsidRDefault="005A3FDE" w:rsidP="005A3FDE">
            <w:pPr>
              <w:suppressAutoHyphens/>
              <w:jc w:val="both"/>
              <w:cnfStyle w:val="000000000000"/>
              <w:rPr>
                <w:rFonts w:ascii="Arial" w:hAnsi="Arial" w:cs="Arial"/>
                <w:kern w:val="1"/>
                <w:sz w:val="22"/>
                <w:szCs w:val="22"/>
                <w:lang w:val="fr-FR"/>
              </w:rPr>
            </w:pPr>
            <w:r w:rsidRPr="009943D3">
              <w:rPr>
                <w:rFonts w:ascii="Arial" w:hAnsi="Arial" w:cs="Arial"/>
                <w:b/>
                <w:kern w:val="1"/>
                <w:sz w:val="22"/>
                <w:szCs w:val="22"/>
                <w:lang w:val="fr-FR"/>
              </w:rPr>
              <w:t>E</w:t>
            </w:r>
            <w:r w:rsidRPr="009943D3">
              <w:rPr>
                <w:rFonts w:ascii="Arial" w:hAnsi="Arial" w:cs="Arial"/>
                <w:kern w:val="1"/>
                <w:sz w:val="22"/>
                <w:szCs w:val="22"/>
                <w:lang w:val="fr-FR"/>
              </w:rPr>
              <w:t> : « Transport, entreposage et communication »</w:t>
            </w:r>
          </w:p>
        </w:tc>
      </w:tr>
      <w:tr w:rsidR="005A3FDE" w:rsidRPr="00D21F4F" w:rsidTr="00F16034">
        <w:trPr>
          <w:cnfStyle w:val="000000100000"/>
        </w:trPr>
        <w:tc>
          <w:tcPr>
            <w:cnfStyle w:val="001000000000"/>
            <w:tcW w:w="4606" w:type="dxa"/>
            <w:tcBorders>
              <w:left w:val="single" w:sz="4" w:space="0" w:color="auto"/>
              <w:right w:val="single" w:sz="4" w:space="0" w:color="auto"/>
            </w:tcBorders>
            <w:vAlign w:val="center"/>
          </w:tcPr>
          <w:p w:rsidR="005A3FDE" w:rsidRPr="009943D3" w:rsidRDefault="005A3FDE" w:rsidP="005A3FDE">
            <w:pPr>
              <w:suppressAutoHyphens/>
              <w:jc w:val="both"/>
              <w:rPr>
                <w:rFonts w:ascii="Arial" w:hAnsi="Arial" w:cs="Arial"/>
                <w:kern w:val="1"/>
                <w:sz w:val="22"/>
                <w:szCs w:val="22"/>
                <w:lang w:val="fr-FR"/>
              </w:rPr>
            </w:pPr>
            <w:r w:rsidRPr="009943D3">
              <w:rPr>
                <w:rFonts w:ascii="Arial" w:hAnsi="Arial" w:cs="Arial"/>
                <w:kern w:val="1"/>
                <w:sz w:val="22"/>
                <w:szCs w:val="22"/>
                <w:lang w:val="fr-FR"/>
              </w:rPr>
              <w:t>C </w:t>
            </w:r>
            <w:r w:rsidRPr="00E70DD4">
              <w:rPr>
                <w:rFonts w:ascii="Arial" w:hAnsi="Arial" w:cs="Arial"/>
                <w:b w:val="0"/>
                <w:kern w:val="1"/>
                <w:sz w:val="22"/>
                <w:szCs w:val="22"/>
                <w:lang w:val="fr-FR"/>
              </w:rPr>
              <w:t>: « Construction »</w:t>
            </w:r>
          </w:p>
        </w:tc>
        <w:tc>
          <w:tcPr>
            <w:tcW w:w="5000" w:type="dxa"/>
            <w:tcBorders>
              <w:left w:val="single" w:sz="4" w:space="0" w:color="auto"/>
              <w:right w:val="single" w:sz="4" w:space="0" w:color="auto"/>
            </w:tcBorders>
            <w:vAlign w:val="center"/>
          </w:tcPr>
          <w:p w:rsidR="005A3FDE" w:rsidRPr="009943D3" w:rsidRDefault="005A3FDE" w:rsidP="005A3FDE">
            <w:pPr>
              <w:suppressAutoHyphens/>
              <w:jc w:val="both"/>
              <w:cnfStyle w:val="000000100000"/>
              <w:rPr>
                <w:rFonts w:ascii="Arial" w:hAnsi="Arial" w:cs="Arial"/>
                <w:kern w:val="1"/>
                <w:sz w:val="22"/>
                <w:szCs w:val="22"/>
                <w:lang w:val="fr-FR"/>
              </w:rPr>
            </w:pPr>
            <w:r w:rsidRPr="009943D3">
              <w:rPr>
                <w:rFonts w:ascii="Arial" w:hAnsi="Arial" w:cs="Arial"/>
                <w:b/>
                <w:kern w:val="1"/>
                <w:sz w:val="22"/>
                <w:szCs w:val="22"/>
                <w:lang w:val="fr-FR"/>
              </w:rPr>
              <w:t>F </w:t>
            </w:r>
            <w:r w:rsidRPr="009943D3">
              <w:rPr>
                <w:rFonts w:ascii="Arial" w:hAnsi="Arial" w:cs="Arial"/>
                <w:kern w:val="1"/>
                <w:sz w:val="22"/>
                <w:szCs w:val="22"/>
                <w:lang w:val="fr-FR"/>
              </w:rPr>
              <w:t>:</w:t>
            </w:r>
            <w:r w:rsidRPr="009943D3">
              <w:rPr>
                <w:rFonts w:ascii="Arial" w:hAnsi="Arial" w:cs="Arial"/>
                <w:kern w:val="1"/>
                <w:sz w:val="22"/>
                <w:szCs w:val="22"/>
                <w:lang w:val="fr-LU"/>
              </w:rPr>
              <w:t xml:space="preserve"> </w:t>
            </w:r>
            <w:r w:rsidRPr="009943D3">
              <w:rPr>
                <w:rFonts w:ascii="Arial" w:hAnsi="Arial" w:cs="Arial"/>
                <w:kern w:val="1"/>
                <w:sz w:val="22"/>
                <w:szCs w:val="22"/>
                <w:lang w:val="fr-FR"/>
              </w:rPr>
              <w:t>« Intermédiation financière et activités auxiliaires, autres activités de services »</w:t>
            </w:r>
          </w:p>
        </w:tc>
      </w:tr>
      <w:tr w:rsidR="005A3FDE" w:rsidRPr="00D21F4F" w:rsidTr="00F16034">
        <w:tc>
          <w:tcPr>
            <w:cnfStyle w:val="001000000000"/>
            <w:tcW w:w="4606" w:type="dxa"/>
            <w:tcBorders>
              <w:top w:val="single" w:sz="8" w:space="0" w:color="8064A2" w:themeColor="accent4"/>
              <w:left w:val="single" w:sz="4" w:space="0" w:color="auto"/>
              <w:bottom w:val="single" w:sz="4" w:space="0" w:color="auto"/>
              <w:right w:val="single" w:sz="4" w:space="0" w:color="auto"/>
            </w:tcBorders>
            <w:vAlign w:val="center"/>
          </w:tcPr>
          <w:p w:rsidR="005A3FDE" w:rsidRPr="009943D3" w:rsidRDefault="005A3FDE" w:rsidP="005A3FDE">
            <w:pPr>
              <w:suppressAutoHyphens/>
              <w:jc w:val="both"/>
              <w:rPr>
                <w:rFonts w:ascii="Arial" w:hAnsi="Arial" w:cs="Arial"/>
                <w:kern w:val="1"/>
                <w:sz w:val="22"/>
                <w:szCs w:val="22"/>
                <w:lang w:val="fr-FR"/>
              </w:rPr>
            </w:pPr>
            <w:r w:rsidRPr="009943D3">
              <w:rPr>
                <w:rFonts w:ascii="Arial" w:hAnsi="Arial" w:cs="Arial"/>
                <w:kern w:val="1"/>
                <w:sz w:val="22"/>
                <w:szCs w:val="22"/>
                <w:lang w:val="fr-FR"/>
              </w:rPr>
              <w:t>G </w:t>
            </w:r>
            <w:r w:rsidRPr="00E70DD4">
              <w:rPr>
                <w:rFonts w:ascii="Arial" w:hAnsi="Arial" w:cs="Arial"/>
                <w:b w:val="0"/>
                <w:kern w:val="1"/>
                <w:sz w:val="22"/>
                <w:szCs w:val="22"/>
                <w:lang w:val="fr-FR"/>
              </w:rPr>
              <w:t>: « Autres (exploitations minières, carrières et électricité, gaz et eau) »</w:t>
            </w:r>
          </w:p>
        </w:tc>
        <w:tc>
          <w:tcPr>
            <w:tcW w:w="5000" w:type="dxa"/>
            <w:tcBorders>
              <w:left w:val="single" w:sz="4" w:space="0" w:color="auto"/>
              <w:bottom w:val="single" w:sz="4" w:space="0" w:color="auto"/>
              <w:right w:val="single" w:sz="4" w:space="0" w:color="auto"/>
            </w:tcBorders>
          </w:tcPr>
          <w:p w:rsidR="005A3FDE" w:rsidRPr="009943D3" w:rsidRDefault="005A3FDE" w:rsidP="005A3FDE">
            <w:pPr>
              <w:suppressAutoHyphens/>
              <w:jc w:val="both"/>
              <w:cnfStyle w:val="000000000000"/>
              <w:rPr>
                <w:rFonts w:ascii="Arial" w:hAnsi="Arial" w:cs="Arial"/>
                <w:kern w:val="1"/>
                <w:sz w:val="22"/>
                <w:szCs w:val="22"/>
                <w:lang w:val="fr-FR"/>
              </w:rPr>
            </w:pPr>
          </w:p>
        </w:tc>
      </w:tr>
    </w:tbl>
    <w:p w:rsidR="00BD7CEB" w:rsidRPr="00567C36" w:rsidRDefault="00BD7CEB" w:rsidP="00375658">
      <w:pPr>
        <w:pStyle w:val="xl28"/>
        <w:pBdr>
          <w:left w:val="none" w:sz="0" w:space="0" w:color="auto"/>
        </w:pBdr>
        <w:spacing w:before="0" w:beforeAutospacing="0" w:after="0" w:afterAutospacing="0"/>
        <w:rPr>
          <w:rFonts w:cs="Arial"/>
          <w:sz w:val="22"/>
          <w:szCs w:val="22"/>
          <w:lang w:val="fr-LU"/>
        </w:rPr>
      </w:pPr>
    </w:p>
    <w:p w:rsidR="00241C9D" w:rsidRPr="00567C36" w:rsidRDefault="00241C9D" w:rsidP="00375658">
      <w:pPr>
        <w:pStyle w:val="xl28"/>
        <w:pBdr>
          <w:left w:val="none" w:sz="0" w:space="0" w:color="auto"/>
        </w:pBdr>
        <w:spacing w:before="0" w:beforeAutospacing="0" w:after="0" w:afterAutospacing="0"/>
        <w:rPr>
          <w:rFonts w:cs="Arial"/>
          <w:sz w:val="22"/>
          <w:szCs w:val="22"/>
          <w:lang w:val="fr-LU"/>
        </w:rPr>
      </w:pPr>
    </w:p>
    <w:p w:rsidR="00241C9D" w:rsidRDefault="00241C9D" w:rsidP="00375658">
      <w:pPr>
        <w:pStyle w:val="xl28"/>
        <w:pBdr>
          <w:left w:val="none" w:sz="0" w:space="0" w:color="auto"/>
        </w:pBdr>
        <w:spacing w:before="0" w:beforeAutospacing="0" w:after="0" w:afterAutospacing="0"/>
        <w:rPr>
          <w:rFonts w:cs="Arial"/>
          <w:sz w:val="22"/>
          <w:szCs w:val="22"/>
          <w:lang w:val="fr-LU"/>
        </w:rPr>
      </w:pPr>
    </w:p>
    <w:p w:rsidR="00F16034" w:rsidRDefault="00F16034" w:rsidP="00375658">
      <w:pPr>
        <w:pStyle w:val="xl28"/>
        <w:pBdr>
          <w:left w:val="none" w:sz="0" w:space="0" w:color="auto"/>
        </w:pBdr>
        <w:spacing w:before="0" w:beforeAutospacing="0" w:after="0" w:afterAutospacing="0"/>
        <w:rPr>
          <w:rFonts w:cs="Arial"/>
          <w:sz w:val="22"/>
          <w:szCs w:val="22"/>
          <w:lang w:val="fr-LU"/>
        </w:rPr>
      </w:pPr>
    </w:p>
    <w:p w:rsidR="00241C9D" w:rsidRPr="00567C36" w:rsidRDefault="00241C9D" w:rsidP="00375658">
      <w:pPr>
        <w:pStyle w:val="xl28"/>
        <w:pBdr>
          <w:left w:val="none" w:sz="0" w:space="0" w:color="auto"/>
        </w:pBdr>
        <w:spacing w:before="0" w:beforeAutospacing="0" w:after="0" w:afterAutospacing="0"/>
        <w:rPr>
          <w:rFonts w:cs="Arial"/>
          <w:sz w:val="22"/>
          <w:szCs w:val="22"/>
          <w:lang w:val="fr-LU"/>
        </w:rPr>
      </w:pPr>
    </w:p>
    <w:p w:rsidR="0014339D" w:rsidRPr="00567C36" w:rsidRDefault="0043086F" w:rsidP="0014339D">
      <w:pPr>
        <w:jc w:val="both"/>
        <w:rPr>
          <w:rFonts w:ascii="Arial" w:hAnsi="Arial" w:cs="Arial"/>
          <w:b/>
          <w:sz w:val="22"/>
          <w:szCs w:val="22"/>
          <w:u w:val="single"/>
          <w:lang w:val="fr-FR"/>
        </w:rPr>
      </w:pPr>
      <w:r w:rsidRPr="00567C36">
        <w:rPr>
          <w:rFonts w:ascii="Arial" w:hAnsi="Arial" w:cs="Arial"/>
          <w:b/>
          <w:sz w:val="22"/>
          <w:szCs w:val="22"/>
          <w:u w:val="single"/>
          <w:lang w:val="fr-FR"/>
        </w:rPr>
        <w:t>E</w:t>
      </w:r>
      <w:r w:rsidR="001705B3" w:rsidRPr="00567C36">
        <w:rPr>
          <w:rFonts w:ascii="Arial" w:hAnsi="Arial" w:cs="Arial"/>
          <w:b/>
          <w:sz w:val="22"/>
          <w:szCs w:val="22"/>
          <w:u w:val="single"/>
          <w:lang w:val="fr-FR"/>
        </w:rPr>
        <w:t xml:space="preserve">volution des indicateurs </w:t>
      </w:r>
      <w:r w:rsidRPr="00567C36">
        <w:rPr>
          <w:rFonts w:ascii="Arial" w:hAnsi="Arial" w:cs="Arial"/>
          <w:b/>
          <w:sz w:val="22"/>
          <w:szCs w:val="22"/>
          <w:u w:val="single"/>
          <w:lang w:val="fr-FR"/>
        </w:rPr>
        <w:t>entre 2009 et 2010 et perspectives pour 2011</w:t>
      </w:r>
    </w:p>
    <w:p w:rsidR="004A06AC" w:rsidRPr="00567C36" w:rsidRDefault="004A06AC" w:rsidP="0014339D">
      <w:pPr>
        <w:jc w:val="both"/>
        <w:rPr>
          <w:rFonts w:ascii="Arial" w:hAnsi="Arial" w:cs="Arial"/>
          <w:sz w:val="22"/>
          <w:szCs w:val="22"/>
          <w:lang w:val="fr-FR"/>
        </w:rPr>
      </w:pPr>
    </w:p>
    <w:p w:rsidR="009C78FB" w:rsidRDefault="009C78FB" w:rsidP="009C78FB">
      <w:pPr>
        <w:pStyle w:val="Heading2"/>
        <w:numPr>
          <w:ilvl w:val="0"/>
          <w:numId w:val="0"/>
        </w:numPr>
        <w:rPr>
          <w:lang w:val="fr-FR"/>
        </w:rPr>
      </w:pPr>
      <w:r>
        <w:rPr>
          <w:lang w:val="fr-BE"/>
        </w:rPr>
        <w:t xml:space="preserve">1. </w:t>
      </w:r>
      <w:r w:rsidRPr="00A33EB0">
        <w:rPr>
          <w:lang w:val="fr-BE"/>
        </w:rPr>
        <w:t xml:space="preserve">Climat des affaires : </w:t>
      </w:r>
      <w:r w:rsidRPr="00A33EB0">
        <w:rPr>
          <w:lang w:val="fr-FR"/>
        </w:rPr>
        <w:t>une reprise de confiance des entreprises après une chute sans précédent</w:t>
      </w:r>
    </w:p>
    <w:p w:rsidR="00BF5EB9" w:rsidRDefault="00BF5EB9" w:rsidP="005954CE">
      <w:pPr>
        <w:ind w:left="360"/>
        <w:jc w:val="both"/>
        <w:rPr>
          <w:rFonts w:ascii="Arial" w:hAnsi="Arial" w:cs="Arial"/>
          <w:sz w:val="22"/>
          <w:szCs w:val="22"/>
          <w:lang w:val="fr-FR"/>
        </w:rPr>
      </w:pPr>
    </w:p>
    <w:p w:rsidR="005954CE" w:rsidRDefault="00BF5EB9" w:rsidP="00BF5EB9">
      <w:pPr>
        <w:pStyle w:val="ListParagraph"/>
        <w:numPr>
          <w:ilvl w:val="0"/>
          <w:numId w:val="18"/>
        </w:numPr>
        <w:jc w:val="both"/>
        <w:rPr>
          <w:rFonts w:ascii="Arial" w:hAnsi="Arial" w:cs="Arial"/>
          <w:sz w:val="22"/>
          <w:szCs w:val="22"/>
          <w:lang w:val="fr-FR"/>
        </w:rPr>
      </w:pPr>
      <w:r w:rsidRPr="00BF5EB9">
        <w:rPr>
          <w:rFonts w:ascii="Arial" w:hAnsi="Arial" w:cs="Arial"/>
          <w:sz w:val="22"/>
          <w:szCs w:val="22"/>
          <w:lang w:val="fr-FR"/>
        </w:rPr>
        <w:t xml:space="preserve">Le climat des affaires s’est fortement amélioré </w:t>
      </w:r>
      <w:r w:rsidRPr="000E6A91">
        <w:rPr>
          <w:rFonts w:ascii="Arial" w:hAnsi="Arial" w:cs="Arial"/>
          <w:b/>
          <w:sz w:val="22"/>
          <w:szCs w:val="22"/>
          <w:lang w:val="fr-FR"/>
        </w:rPr>
        <w:t>en</w:t>
      </w:r>
      <w:r w:rsidR="000E6A91" w:rsidRPr="000E6A91">
        <w:rPr>
          <w:rFonts w:ascii="Arial" w:hAnsi="Arial" w:cs="Arial"/>
          <w:b/>
          <w:sz w:val="22"/>
          <w:szCs w:val="22"/>
          <w:lang w:val="fr-FR"/>
        </w:rPr>
        <w:t>tre 2009 et</w:t>
      </w:r>
      <w:r w:rsidRPr="000E6A91">
        <w:rPr>
          <w:rFonts w:ascii="Arial" w:hAnsi="Arial" w:cs="Arial"/>
          <w:b/>
          <w:sz w:val="22"/>
          <w:szCs w:val="22"/>
          <w:lang w:val="fr-FR"/>
        </w:rPr>
        <w:t xml:space="preserve"> 2010</w:t>
      </w:r>
      <w:r w:rsidRPr="00BF5EB9">
        <w:rPr>
          <w:rFonts w:ascii="Arial" w:hAnsi="Arial" w:cs="Arial"/>
          <w:sz w:val="22"/>
          <w:szCs w:val="22"/>
          <w:lang w:val="fr-FR"/>
        </w:rPr>
        <w:t xml:space="preserve"> au vu des résultats de l’enquête Eurochambres 2011. Malgré une croissance spectaculaire des </w:t>
      </w:r>
      <w:r w:rsidRPr="009B70D4">
        <w:rPr>
          <w:rFonts w:ascii="Arial" w:hAnsi="Arial" w:cs="Arial"/>
          <w:sz w:val="22"/>
          <w:szCs w:val="22"/>
          <w:lang w:val="fr-FR"/>
        </w:rPr>
        <w:t>balances nettes</w:t>
      </w:r>
      <w:r w:rsidR="00FD7FE0" w:rsidRPr="009B70D4">
        <w:rPr>
          <w:rStyle w:val="FootnoteReference"/>
          <w:rFonts w:ascii="Arial" w:hAnsi="Arial" w:cs="Arial"/>
          <w:sz w:val="22"/>
          <w:szCs w:val="22"/>
          <w:lang w:val="fr-FR"/>
        </w:rPr>
        <w:footnoteReference w:id="3"/>
      </w:r>
      <w:r w:rsidRPr="009B70D4">
        <w:rPr>
          <w:rFonts w:ascii="Arial" w:hAnsi="Arial" w:cs="Arial"/>
          <w:sz w:val="22"/>
          <w:szCs w:val="22"/>
          <w:lang w:val="fr-FR"/>
        </w:rPr>
        <w:t>,</w:t>
      </w:r>
      <w:r w:rsidRPr="00BF5EB9">
        <w:rPr>
          <w:rFonts w:ascii="Arial" w:hAnsi="Arial" w:cs="Arial"/>
          <w:sz w:val="22"/>
          <w:szCs w:val="22"/>
          <w:lang w:val="fr-FR"/>
        </w:rPr>
        <w:t xml:space="preserve"> de l’économie totale</w:t>
      </w:r>
      <w:r w:rsidR="00DA0727">
        <w:rPr>
          <w:rFonts w:ascii="Arial" w:hAnsi="Arial" w:cs="Arial"/>
          <w:sz w:val="22"/>
          <w:szCs w:val="22"/>
          <w:lang w:val="fr-FR"/>
        </w:rPr>
        <w:t xml:space="preserve"> ainsi que celles des </w:t>
      </w:r>
      <w:r w:rsidRPr="00BF5EB9">
        <w:rPr>
          <w:rFonts w:ascii="Arial" w:hAnsi="Arial" w:cs="Arial"/>
          <w:sz w:val="22"/>
          <w:szCs w:val="22"/>
          <w:lang w:val="fr-FR"/>
        </w:rPr>
        <w:t>secteur</w:t>
      </w:r>
      <w:r w:rsidR="00DA0727">
        <w:rPr>
          <w:rFonts w:ascii="Arial" w:hAnsi="Arial" w:cs="Arial"/>
          <w:sz w:val="22"/>
          <w:szCs w:val="22"/>
          <w:lang w:val="fr-FR"/>
        </w:rPr>
        <w:t>s manufacturier et des services</w:t>
      </w:r>
      <w:r w:rsidRPr="00BF5EB9">
        <w:rPr>
          <w:rFonts w:ascii="Arial" w:hAnsi="Arial" w:cs="Arial"/>
          <w:sz w:val="22"/>
          <w:szCs w:val="22"/>
          <w:lang w:val="fr-FR"/>
        </w:rPr>
        <w:t xml:space="preserve"> depuis l’enquête précédente, ces dernières demeurent négatives (-24,2 points dan</w:t>
      </w:r>
      <w:r w:rsidR="00DA0727">
        <w:rPr>
          <w:rFonts w:ascii="Arial" w:hAnsi="Arial" w:cs="Arial"/>
          <w:sz w:val="22"/>
          <w:szCs w:val="22"/>
          <w:lang w:val="fr-FR"/>
        </w:rPr>
        <w:t xml:space="preserve">s l’industrie manufacturière, </w:t>
      </w:r>
      <w:r w:rsidRPr="00BF5EB9">
        <w:rPr>
          <w:rFonts w:ascii="Arial" w:hAnsi="Arial" w:cs="Arial"/>
          <w:sz w:val="22"/>
          <w:szCs w:val="22"/>
          <w:lang w:val="fr-FR"/>
        </w:rPr>
        <w:t>-17,2 points dans les services</w:t>
      </w:r>
      <w:r w:rsidR="00DA0727">
        <w:rPr>
          <w:rFonts w:ascii="Arial" w:hAnsi="Arial" w:cs="Arial"/>
          <w:sz w:val="22"/>
          <w:szCs w:val="22"/>
          <w:lang w:val="fr-FR"/>
        </w:rPr>
        <w:t xml:space="preserve"> et -19,5 points pour l’ensemble de l’économie</w:t>
      </w:r>
      <w:r w:rsidRPr="00BF5EB9">
        <w:rPr>
          <w:rFonts w:ascii="Arial" w:hAnsi="Arial" w:cs="Arial"/>
          <w:sz w:val="22"/>
          <w:szCs w:val="22"/>
          <w:lang w:val="fr-FR"/>
        </w:rPr>
        <w:t>).</w:t>
      </w:r>
      <w:r w:rsidR="00DA0727">
        <w:rPr>
          <w:rFonts w:ascii="Arial" w:hAnsi="Arial" w:cs="Arial"/>
          <w:sz w:val="22"/>
          <w:szCs w:val="22"/>
          <w:lang w:val="fr-FR"/>
        </w:rPr>
        <w:t xml:space="preserve"> </w:t>
      </w:r>
      <w:r w:rsidR="00F61F82" w:rsidRPr="00F61F82">
        <w:rPr>
          <w:rFonts w:ascii="Arial" w:hAnsi="Arial" w:cs="Arial"/>
          <w:sz w:val="22"/>
          <w:szCs w:val="22"/>
          <w:lang w:val="fr-FR"/>
        </w:rPr>
        <w:t>Les entrepreneurs font preuve d’une prudence évidente au vu de la part importante d’entreprises déclarant que le climat des affaires est stable</w:t>
      </w:r>
    </w:p>
    <w:p w:rsidR="002E0339" w:rsidRDefault="002E0339" w:rsidP="002E0339">
      <w:pPr>
        <w:pStyle w:val="ListParagraph"/>
        <w:ind w:left="360"/>
        <w:rPr>
          <w:rFonts w:ascii="Arial" w:hAnsi="Arial" w:cs="Arial"/>
          <w:sz w:val="22"/>
          <w:szCs w:val="22"/>
          <w:lang w:val="fr-FR"/>
        </w:rPr>
      </w:pPr>
    </w:p>
    <w:p w:rsidR="00BB772A" w:rsidRDefault="007E14F3" w:rsidP="00F25205">
      <w:pPr>
        <w:pStyle w:val="CC"/>
        <w:numPr>
          <w:ilvl w:val="0"/>
          <w:numId w:val="18"/>
        </w:numPr>
      </w:pPr>
      <w:r w:rsidRPr="007E14F3">
        <w:rPr>
          <w:b/>
          <w:i/>
        </w:rPr>
        <w:t>L’analyse sous-sectorielle</w:t>
      </w:r>
      <w:r>
        <w:t xml:space="preserve"> montre que ce sont l</w:t>
      </w:r>
      <w:r w:rsidR="00A615FA" w:rsidRPr="00F61AAB">
        <w:t xml:space="preserve">es </w:t>
      </w:r>
      <w:r w:rsidR="00A615FA" w:rsidRPr="00DD12A4">
        <w:t>entreprises de la construction</w:t>
      </w:r>
      <w:r>
        <w:t xml:space="preserve"> qui </w:t>
      </w:r>
      <w:r w:rsidR="00A615FA" w:rsidRPr="00F61AAB">
        <w:t xml:space="preserve">affichent les résultats les plus mitigés quant à l’évolution de l’environnement économique entre 2009 et 2010 puisque 45,9% d’entre elles estiment que le climat des affaires a évolué défavorablement entre ces deux années et 37,7% affirment qu’il n’y a pas eu de changement. </w:t>
      </w:r>
    </w:p>
    <w:p w:rsidR="00BB772A" w:rsidRDefault="00BB772A" w:rsidP="00BB772A">
      <w:pPr>
        <w:pStyle w:val="CC"/>
        <w:ind w:left="360"/>
      </w:pPr>
    </w:p>
    <w:p w:rsidR="00BB772A" w:rsidRDefault="007E14F3" w:rsidP="00BB772A">
      <w:pPr>
        <w:pStyle w:val="CC"/>
        <w:ind w:left="360"/>
      </w:pPr>
      <w:r>
        <w:t>La</w:t>
      </w:r>
      <w:r w:rsidR="00A615FA" w:rsidRPr="006330E0">
        <w:t xml:space="preserve"> </w:t>
      </w:r>
      <w:r w:rsidR="00A615FA" w:rsidRPr="00F61F82">
        <w:rPr>
          <w:b/>
          <w:i/>
        </w:rPr>
        <w:t>taille des entreprises</w:t>
      </w:r>
      <w:r w:rsidR="00A615FA" w:rsidRPr="006330E0">
        <w:t xml:space="preserve"> a également un impact sur les </w:t>
      </w:r>
      <w:r w:rsidR="00B765B8">
        <w:t xml:space="preserve">résultats, </w:t>
      </w:r>
      <w:r w:rsidR="00A615FA" w:rsidRPr="008B2FAF">
        <w:t xml:space="preserve">l’optimisme en termes de perception de l’environnement des affaires </w:t>
      </w:r>
      <w:r w:rsidR="00B765B8">
        <w:t>étant</w:t>
      </w:r>
      <w:r w:rsidR="00A615FA" w:rsidRPr="008B2FAF">
        <w:t xml:space="preserve"> plus élevé pour les grandes entreprises manufacturières, ce qui contraste fortement avec les résultats de l’enquête </w:t>
      </w:r>
      <w:r w:rsidR="00A615FA">
        <w:t>effectuée en octobre 2009</w:t>
      </w:r>
      <w:r w:rsidR="00A615FA" w:rsidRPr="008B2FAF">
        <w:t>. Or, à la lumière de la chute brutale du niveau d’activité</w:t>
      </w:r>
      <w:r w:rsidR="00E25C22">
        <w:t xml:space="preserve"> et du commerce mondial en 2009, </w:t>
      </w:r>
      <w:r w:rsidR="00A615FA" w:rsidRPr="008B2FAF">
        <w:t>il n’est guère surprenant aux yeux de la Chambre de Commerce que l’environnement soit jugé plus favorable par les grandes entreprises exportatrices en 2010. Une partie non-négligeable de la reprise étant mécanique, il conviendrait de parler d’un optimis</w:t>
      </w:r>
      <w:r w:rsidR="00A615FA">
        <w:t>m</w:t>
      </w:r>
      <w:r w:rsidR="00A615FA" w:rsidRPr="008B2FAF">
        <w:t>e prudent pour 2010</w:t>
      </w:r>
      <w:r w:rsidR="00A615FA">
        <w:t>.</w:t>
      </w:r>
      <w:r w:rsidR="00F25205">
        <w:t xml:space="preserve"> </w:t>
      </w:r>
    </w:p>
    <w:p w:rsidR="00BB772A" w:rsidRDefault="00BB772A" w:rsidP="00BB772A">
      <w:pPr>
        <w:pStyle w:val="CC"/>
        <w:ind w:left="360"/>
      </w:pPr>
    </w:p>
    <w:p w:rsidR="00A615FA" w:rsidRPr="00F25205" w:rsidRDefault="00A615FA" w:rsidP="00BB772A">
      <w:pPr>
        <w:pStyle w:val="CC"/>
        <w:ind w:left="360"/>
      </w:pPr>
      <w:r w:rsidRPr="008B2FAF">
        <w:t xml:space="preserve">En ce qui concerne la distinction des entreprises selon la </w:t>
      </w:r>
      <w:r w:rsidRPr="00BB772A">
        <w:rPr>
          <w:b/>
          <w:i/>
        </w:rPr>
        <w:t>localisation de leurs activités</w:t>
      </w:r>
      <w:r w:rsidRPr="008B2FAF">
        <w:t xml:space="preserve">, tant dans le secteur manufacturier que dans celui des services, les balances s’avèrent moins négatives pour les entreprises présentes sur le marché international, en raison notamment de la reprise </w:t>
      </w:r>
      <w:r w:rsidRPr="00F25205">
        <w:rPr>
          <w:lang w:val="fr-LU"/>
        </w:rPr>
        <w:t>de l’activité mondiale en 2010 et de l’augmentation des débouchés internationaux.</w:t>
      </w:r>
    </w:p>
    <w:p w:rsidR="00A615FA" w:rsidRDefault="00A615FA" w:rsidP="00A615FA">
      <w:pPr>
        <w:rPr>
          <w:bCs/>
          <w:lang w:val="fr-FR"/>
        </w:rPr>
      </w:pPr>
    </w:p>
    <w:p w:rsidR="00A41461" w:rsidRDefault="00A41461" w:rsidP="00A41461">
      <w:pPr>
        <w:pStyle w:val="ListParagraph"/>
        <w:numPr>
          <w:ilvl w:val="0"/>
          <w:numId w:val="18"/>
        </w:numPr>
        <w:jc w:val="both"/>
        <w:rPr>
          <w:rFonts w:ascii="Arial" w:hAnsi="Arial" w:cs="Arial"/>
          <w:sz w:val="22"/>
          <w:szCs w:val="22"/>
          <w:lang w:val="fr-FR"/>
        </w:rPr>
      </w:pPr>
      <w:r w:rsidRPr="00A41461">
        <w:rPr>
          <w:rFonts w:ascii="Arial" w:hAnsi="Arial" w:cs="Arial"/>
          <w:sz w:val="22"/>
          <w:szCs w:val="22"/>
          <w:lang w:val="fr-FR"/>
        </w:rPr>
        <w:t xml:space="preserve">S’agissant </w:t>
      </w:r>
      <w:r w:rsidR="006D6CFB">
        <w:rPr>
          <w:rFonts w:ascii="Arial" w:hAnsi="Arial" w:cs="Arial"/>
          <w:sz w:val="22"/>
          <w:szCs w:val="22"/>
          <w:lang w:val="fr-FR"/>
        </w:rPr>
        <w:t xml:space="preserve">des </w:t>
      </w:r>
      <w:r w:rsidR="006D6CFB" w:rsidRPr="006D6CFB">
        <w:rPr>
          <w:rFonts w:ascii="Arial" w:hAnsi="Arial" w:cs="Arial"/>
          <w:b/>
          <w:sz w:val="22"/>
          <w:szCs w:val="22"/>
          <w:lang w:val="fr-FR"/>
        </w:rPr>
        <w:t>perspectives pour 2011</w:t>
      </w:r>
      <w:r w:rsidR="006D6CFB">
        <w:rPr>
          <w:rFonts w:ascii="Arial" w:hAnsi="Arial" w:cs="Arial"/>
          <w:sz w:val="22"/>
          <w:szCs w:val="22"/>
          <w:lang w:val="fr-FR"/>
        </w:rPr>
        <w:t>, la balance de</w:t>
      </w:r>
      <w:r w:rsidRPr="00A41461">
        <w:rPr>
          <w:rFonts w:ascii="Arial" w:hAnsi="Arial" w:cs="Arial"/>
          <w:sz w:val="22"/>
          <w:szCs w:val="22"/>
          <w:lang w:val="fr-FR"/>
        </w:rPr>
        <w:t xml:space="preserve"> </w:t>
      </w:r>
      <w:r w:rsidRPr="006D6CFB">
        <w:rPr>
          <w:rFonts w:ascii="Arial" w:hAnsi="Arial" w:cs="Arial"/>
          <w:sz w:val="22"/>
          <w:szCs w:val="22"/>
          <w:lang w:val="fr-FR"/>
        </w:rPr>
        <w:t>l’économie totale</w:t>
      </w:r>
      <w:r w:rsidR="006D6CFB">
        <w:rPr>
          <w:rFonts w:ascii="Arial" w:hAnsi="Arial" w:cs="Arial"/>
          <w:sz w:val="22"/>
          <w:szCs w:val="22"/>
          <w:lang w:val="fr-FR"/>
        </w:rPr>
        <w:t xml:space="preserve"> </w:t>
      </w:r>
      <w:r w:rsidRPr="00A41461">
        <w:rPr>
          <w:rFonts w:ascii="Arial" w:hAnsi="Arial" w:cs="Arial"/>
          <w:sz w:val="22"/>
          <w:szCs w:val="22"/>
          <w:lang w:val="fr-FR"/>
        </w:rPr>
        <w:t>reste négative</w:t>
      </w:r>
      <w:r w:rsidRPr="00A41461">
        <w:rPr>
          <w:rFonts w:ascii="Arial" w:hAnsi="Arial" w:cs="Arial"/>
          <w:sz w:val="22"/>
          <w:szCs w:val="22"/>
          <w:lang w:val="fr-LU"/>
        </w:rPr>
        <w:t xml:space="preserve"> (-2,4 points)</w:t>
      </w:r>
      <w:r w:rsidR="00E22820">
        <w:rPr>
          <w:rFonts w:ascii="Arial" w:hAnsi="Arial" w:cs="Arial"/>
          <w:sz w:val="22"/>
          <w:szCs w:val="22"/>
          <w:lang w:val="fr-LU"/>
        </w:rPr>
        <w:t xml:space="preserve"> mais </w:t>
      </w:r>
      <w:r w:rsidR="00E22820" w:rsidRPr="00A41461">
        <w:rPr>
          <w:rFonts w:ascii="Arial" w:hAnsi="Arial" w:cs="Arial"/>
          <w:sz w:val="22"/>
          <w:szCs w:val="22"/>
          <w:lang w:val="fr-FR"/>
        </w:rPr>
        <w:t>est largement supérieure à celles des deux enquêtes précédentes qui exprimaient un réel pessimisme</w:t>
      </w:r>
      <w:r w:rsidRPr="00A41461">
        <w:rPr>
          <w:rFonts w:ascii="Arial" w:hAnsi="Arial" w:cs="Arial"/>
          <w:sz w:val="22"/>
          <w:szCs w:val="22"/>
          <w:lang w:val="fr-LU"/>
        </w:rPr>
        <w:t xml:space="preserve">. </w:t>
      </w:r>
      <w:r w:rsidR="00734D75">
        <w:rPr>
          <w:rFonts w:ascii="Arial" w:hAnsi="Arial" w:cs="Arial"/>
          <w:sz w:val="22"/>
          <w:szCs w:val="22"/>
          <w:lang w:val="fr-LU"/>
        </w:rPr>
        <w:t>Ce</w:t>
      </w:r>
      <w:r w:rsidRPr="00A41461">
        <w:rPr>
          <w:rFonts w:ascii="Arial" w:hAnsi="Arial" w:cs="Arial"/>
          <w:sz w:val="22"/>
          <w:szCs w:val="22"/>
          <w:lang w:val="fr-LU"/>
        </w:rPr>
        <w:t xml:space="preserve"> résultat </w:t>
      </w:r>
      <w:r w:rsidR="00734D75">
        <w:rPr>
          <w:rFonts w:ascii="Arial" w:hAnsi="Arial" w:cs="Arial"/>
          <w:sz w:val="22"/>
          <w:szCs w:val="22"/>
          <w:lang w:val="fr-LU"/>
        </w:rPr>
        <w:t xml:space="preserve">demeure négatif </w:t>
      </w:r>
      <w:r w:rsidR="00734D75">
        <w:rPr>
          <w:rFonts w:ascii="Arial" w:hAnsi="Arial" w:cs="Arial"/>
          <w:sz w:val="22"/>
          <w:szCs w:val="22"/>
          <w:lang w:val="fr-FR"/>
        </w:rPr>
        <w:t>en raison des</w:t>
      </w:r>
      <w:r w:rsidRPr="00A41461">
        <w:rPr>
          <w:rFonts w:ascii="Arial" w:hAnsi="Arial" w:cs="Arial"/>
          <w:sz w:val="22"/>
          <w:szCs w:val="22"/>
          <w:lang w:val="fr-FR"/>
        </w:rPr>
        <w:t xml:space="preserve"> perspectives </w:t>
      </w:r>
      <w:r w:rsidR="00734D75">
        <w:rPr>
          <w:rFonts w:ascii="Arial" w:hAnsi="Arial" w:cs="Arial"/>
          <w:sz w:val="22"/>
          <w:szCs w:val="22"/>
          <w:lang w:val="fr-FR"/>
        </w:rPr>
        <w:t>défavorables au sein</w:t>
      </w:r>
      <w:r w:rsidRPr="00A41461">
        <w:rPr>
          <w:rFonts w:ascii="Arial" w:hAnsi="Arial" w:cs="Arial"/>
          <w:sz w:val="22"/>
          <w:szCs w:val="22"/>
          <w:lang w:val="fr-FR"/>
        </w:rPr>
        <w:t xml:space="preserve"> du </w:t>
      </w:r>
      <w:r w:rsidRPr="00BF0445">
        <w:rPr>
          <w:rFonts w:ascii="Arial" w:hAnsi="Arial" w:cs="Arial"/>
          <w:sz w:val="22"/>
          <w:szCs w:val="22"/>
          <w:lang w:val="fr-FR"/>
        </w:rPr>
        <w:t>secteur manufacturier</w:t>
      </w:r>
      <w:r w:rsidR="003D091E">
        <w:rPr>
          <w:rFonts w:ascii="Arial" w:hAnsi="Arial" w:cs="Arial"/>
          <w:sz w:val="22"/>
          <w:szCs w:val="22"/>
          <w:lang w:val="fr-FR"/>
        </w:rPr>
        <w:t xml:space="preserve"> (</w:t>
      </w:r>
      <w:r w:rsidR="003D091E" w:rsidRPr="003D091E">
        <w:rPr>
          <w:rFonts w:ascii="Arial" w:hAnsi="Arial" w:cs="Arial"/>
          <w:sz w:val="22"/>
          <w:szCs w:val="22"/>
          <w:lang w:val="fr-FR"/>
        </w:rPr>
        <w:t xml:space="preserve">-12,6 points) </w:t>
      </w:r>
      <w:r w:rsidR="003D091E">
        <w:rPr>
          <w:rFonts w:ascii="Arial" w:hAnsi="Arial" w:cs="Arial"/>
          <w:sz w:val="22"/>
          <w:szCs w:val="22"/>
          <w:lang w:val="fr-FR"/>
        </w:rPr>
        <w:t xml:space="preserve">alors que </w:t>
      </w:r>
      <w:r w:rsidR="003D091E" w:rsidRPr="003D091E">
        <w:rPr>
          <w:rFonts w:ascii="Arial" w:hAnsi="Arial" w:cs="Arial"/>
          <w:sz w:val="22"/>
          <w:szCs w:val="22"/>
          <w:lang w:val="fr-FR"/>
        </w:rPr>
        <w:t xml:space="preserve">les entreprises du secteur des services </w:t>
      </w:r>
      <w:r w:rsidR="00CD3F08">
        <w:rPr>
          <w:rFonts w:ascii="Arial" w:hAnsi="Arial" w:cs="Arial"/>
          <w:sz w:val="22"/>
          <w:szCs w:val="22"/>
          <w:lang w:val="fr-FR"/>
        </w:rPr>
        <w:t>indiquent</w:t>
      </w:r>
      <w:r w:rsidR="009531A4">
        <w:rPr>
          <w:rFonts w:ascii="Arial" w:hAnsi="Arial" w:cs="Arial"/>
          <w:sz w:val="22"/>
          <w:szCs w:val="22"/>
          <w:lang w:val="fr-FR"/>
        </w:rPr>
        <w:t xml:space="preserve"> </w:t>
      </w:r>
      <w:r w:rsidR="003D091E" w:rsidRPr="003D091E">
        <w:rPr>
          <w:rFonts w:ascii="Arial" w:hAnsi="Arial" w:cs="Arial"/>
          <w:sz w:val="22"/>
          <w:szCs w:val="22"/>
          <w:lang w:val="fr-FR"/>
        </w:rPr>
        <w:t xml:space="preserve">une relative confiance en ce qui concerne l’avenir du climat des affaires </w:t>
      </w:r>
      <w:r w:rsidR="007F5DFC">
        <w:rPr>
          <w:rFonts w:ascii="Arial" w:hAnsi="Arial" w:cs="Arial"/>
          <w:sz w:val="22"/>
          <w:szCs w:val="22"/>
          <w:lang w:val="fr-FR"/>
        </w:rPr>
        <w:t>avec une</w:t>
      </w:r>
      <w:r w:rsidR="003D091E" w:rsidRPr="003D091E">
        <w:rPr>
          <w:rFonts w:ascii="Arial" w:hAnsi="Arial" w:cs="Arial"/>
          <w:sz w:val="22"/>
          <w:szCs w:val="22"/>
          <w:lang w:val="fr-FR"/>
        </w:rPr>
        <w:t xml:space="preserve"> balance </w:t>
      </w:r>
      <w:r w:rsidR="007F5DFC">
        <w:rPr>
          <w:rFonts w:ascii="Arial" w:hAnsi="Arial" w:cs="Arial"/>
          <w:sz w:val="22"/>
          <w:szCs w:val="22"/>
          <w:lang w:val="fr-FR"/>
        </w:rPr>
        <w:t xml:space="preserve">qui </w:t>
      </w:r>
      <w:r w:rsidR="003D091E" w:rsidRPr="003D091E">
        <w:rPr>
          <w:rFonts w:ascii="Arial" w:hAnsi="Arial" w:cs="Arial"/>
          <w:sz w:val="22"/>
          <w:szCs w:val="22"/>
          <w:lang w:val="fr-FR"/>
        </w:rPr>
        <w:t>retrouve une valeur positive, mais faible (2,5 points)</w:t>
      </w:r>
      <w:r w:rsidRPr="00BF0445">
        <w:rPr>
          <w:rFonts w:ascii="Arial" w:hAnsi="Arial" w:cs="Arial"/>
          <w:sz w:val="22"/>
          <w:szCs w:val="22"/>
          <w:lang w:val="fr-FR"/>
        </w:rPr>
        <w:t>.</w:t>
      </w:r>
      <w:r w:rsidR="00A57078">
        <w:rPr>
          <w:rFonts w:ascii="Arial" w:hAnsi="Arial" w:cs="Arial"/>
          <w:sz w:val="22"/>
          <w:szCs w:val="22"/>
          <w:lang w:val="fr-FR"/>
        </w:rPr>
        <w:t xml:space="preserve"> </w:t>
      </w:r>
      <w:r w:rsidR="00AA09F6">
        <w:rPr>
          <w:rFonts w:ascii="Arial" w:hAnsi="Arial" w:cs="Arial"/>
          <w:sz w:val="22"/>
          <w:szCs w:val="22"/>
          <w:lang w:val="fr-FR"/>
        </w:rPr>
        <w:t>La</w:t>
      </w:r>
      <w:r w:rsidRPr="00A57078">
        <w:rPr>
          <w:rFonts w:ascii="Arial" w:hAnsi="Arial" w:cs="Arial"/>
          <w:sz w:val="22"/>
          <w:szCs w:val="22"/>
          <w:lang w:val="fr-FR"/>
        </w:rPr>
        <w:t xml:space="preserve"> chute de l’activité économique </w:t>
      </w:r>
      <w:r w:rsidR="00AA09F6">
        <w:rPr>
          <w:rFonts w:ascii="Arial" w:hAnsi="Arial" w:cs="Arial"/>
          <w:sz w:val="22"/>
          <w:szCs w:val="22"/>
          <w:lang w:val="fr-FR"/>
        </w:rPr>
        <w:t xml:space="preserve">en 2009 </w:t>
      </w:r>
      <w:r w:rsidR="009C23AD">
        <w:rPr>
          <w:rFonts w:ascii="Arial" w:hAnsi="Arial" w:cs="Arial"/>
          <w:sz w:val="22"/>
          <w:szCs w:val="22"/>
          <w:lang w:val="fr-FR"/>
        </w:rPr>
        <w:t>est</w:t>
      </w:r>
      <w:r w:rsidR="00AA09F6">
        <w:rPr>
          <w:rFonts w:ascii="Arial" w:hAnsi="Arial" w:cs="Arial"/>
          <w:sz w:val="22"/>
          <w:szCs w:val="22"/>
          <w:lang w:val="fr-FR"/>
        </w:rPr>
        <w:t xml:space="preserve"> allée de pair </w:t>
      </w:r>
      <w:r w:rsidRPr="00A57078">
        <w:rPr>
          <w:rFonts w:ascii="Arial" w:hAnsi="Arial" w:cs="Arial"/>
          <w:sz w:val="22"/>
          <w:szCs w:val="22"/>
          <w:lang w:val="fr-FR"/>
        </w:rPr>
        <w:t xml:space="preserve">avec un déstockage important, surtout sur le début de l’année. En 2010, et suite au restockage industriel notamment, le niveau d’activité repartait mécaniquement à la hausse. La reconstitution des stocks est </w:t>
      </w:r>
      <w:r w:rsidRPr="00A57078">
        <w:rPr>
          <w:rFonts w:ascii="Arial" w:hAnsi="Arial" w:cs="Arial"/>
          <w:sz w:val="22"/>
          <w:szCs w:val="22"/>
          <w:lang w:val="fr-FR"/>
        </w:rPr>
        <w:lastRenderedPageBreak/>
        <w:t>désormais achevée. Or, afin de pouvoir consolider ce niveau d’activité à l’avenir, l</w:t>
      </w:r>
      <w:r w:rsidR="00D21F4F">
        <w:rPr>
          <w:rFonts w:ascii="Arial" w:hAnsi="Arial" w:cs="Arial"/>
          <w:sz w:val="22"/>
          <w:szCs w:val="22"/>
          <w:lang w:val="fr-FR"/>
        </w:rPr>
        <w:t>es entreprises luxembourgeoises</w:t>
      </w:r>
      <w:r w:rsidRPr="00A57078">
        <w:rPr>
          <w:rFonts w:ascii="Arial" w:hAnsi="Arial" w:cs="Arial"/>
          <w:sz w:val="22"/>
          <w:szCs w:val="22"/>
          <w:lang w:val="fr-FR"/>
        </w:rPr>
        <w:t xml:space="preserve"> doivent impérativement o</w:t>
      </w:r>
      <w:r w:rsidR="00BC25DF">
        <w:rPr>
          <w:rFonts w:ascii="Arial" w:hAnsi="Arial" w:cs="Arial"/>
          <w:sz w:val="22"/>
          <w:szCs w:val="22"/>
          <w:lang w:val="fr-FR"/>
        </w:rPr>
        <w:t>ffrir des produits compétitifs.</w:t>
      </w:r>
    </w:p>
    <w:p w:rsidR="00BC25DF" w:rsidRDefault="00BC25DF" w:rsidP="00BC25DF">
      <w:pPr>
        <w:pStyle w:val="ListParagraph"/>
        <w:ind w:left="360"/>
        <w:jc w:val="both"/>
        <w:rPr>
          <w:rFonts w:ascii="Arial" w:hAnsi="Arial" w:cs="Arial"/>
          <w:sz w:val="22"/>
          <w:szCs w:val="22"/>
          <w:lang w:val="fr-FR"/>
        </w:rPr>
      </w:pPr>
    </w:p>
    <w:p w:rsidR="00B72DCA" w:rsidRDefault="00911674" w:rsidP="00B72DCA">
      <w:pPr>
        <w:pStyle w:val="ListParagraph"/>
        <w:numPr>
          <w:ilvl w:val="0"/>
          <w:numId w:val="18"/>
        </w:numPr>
        <w:jc w:val="both"/>
        <w:rPr>
          <w:rFonts w:ascii="Arial" w:hAnsi="Arial" w:cs="Arial"/>
          <w:sz w:val="22"/>
          <w:szCs w:val="22"/>
          <w:lang w:val="fr-FR"/>
        </w:rPr>
      </w:pPr>
      <w:r w:rsidRPr="00911674">
        <w:rPr>
          <w:rFonts w:ascii="Arial" w:hAnsi="Arial" w:cs="Arial"/>
          <w:sz w:val="22"/>
          <w:szCs w:val="22"/>
          <w:lang w:val="fr-FR"/>
        </w:rPr>
        <w:t xml:space="preserve">Les perspectives sont également encourageantes si une distinction est réalisée selon la </w:t>
      </w:r>
      <w:r w:rsidRPr="00911674">
        <w:rPr>
          <w:rFonts w:ascii="Arial" w:hAnsi="Arial" w:cs="Arial"/>
          <w:b/>
          <w:i/>
          <w:sz w:val="22"/>
          <w:szCs w:val="22"/>
          <w:lang w:val="fr-FR"/>
        </w:rPr>
        <w:t>taille des entreprises</w:t>
      </w:r>
      <w:r w:rsidRPr="00911674">
        <w:rPr>
          <w:rFonts w:ascii="Arial" w:hAnsi="Arial" w:cs="Arial"/>
          <w:sz w:val="22"/>
          <w:szCs w:val="22"/>
          <w:lang w:val="fr-FR"/>
        </w:rPr>
        <w:t>.</w:t>
      </w:r>
      <w:r w:rsidR="009C23AD">
        <w:rPr>
          <w:rFonts w:ascii="Arial" w:hAnsi="Arial" w:cs="Arial"/>
          <w:sz w:val="22"/>
          <w:szCs w:val="22"/>
          <w:lang w:val="fr-FR"/>
        </w:rPr>
        <w:t xml:space="preserve"> </w:t>
      </w:r>
      <w:r w:rsidR="00284467" w:rsidRPr="00284467">
        <w:rPr>
          <w:rFonts w:ascii="Arial" w:hAnsi="Arial" w:cs="Arial"/>
          <w:sz w:val="22"/>
          <w:szCs w:val="22"/>
          <w:lang w:val="fr-FR"/>
        </w:rPr>
        <w:t>Les petites structures économiques sont en effet particulièrement exposées à la concurrence des entreprises de plus en plus compétitives de la Grande-Région. Vu la banalisation des prestations transfrontalières, les entrepreneurs indigènes risquent de perdre de plus de en p</w:t>
      </w:r>
      <w:r w:rsidR="00D21F4F">
        <w:rPr>
          <w:rFonts w:ascii="Arial" w:hAnsi="Arial" w:cs="Arial"/>
          <w:sz w:val="22"/>
          <w:szCs w:val="22"/>
          <w:lang w:val="fr-FR"/>
        </w:rPr>
        <w:t xml:space="preserve">lus de parts de marché, ce qui </w:t>
      </w:r>
      <w:r w:rsidR="00284467" w:rsidRPr="00284467">
        <w:rPr>
          <w:rFonts w:ascii="Arial" w:hAnsi="Arial" w:cs="Arial"/>
          <w:sz w:val="22"/>
          <w:szCs w:val="22"/>
          <w:lang w:val="fr-FR"/>
        </w:rPr>
        <w:t>renforce les craintes d’une désindustrialisation accrue.</w:t>
      </w:r>
    </w:p>
    <w:p w:rsidR="00B72DCA" w:rsidRPr="00B72DCA" w:rsidRDefault="00B72DCA" w:rsidP="00B72DCA">
      <w:pPr>
        <w:pStyle w:val="ListParagraph"/>
        <w:ind w:left="360"/>
        <w:jc w:val="both"/>
        <w:rPr>
          <w:rFonts w:ascii="Arial" w:hAnsi="Arial" w:cs="Arial"/>
          <w:sz w:val="22"/>
          <w:szCs w:val="22"/>
          <w:lang w:val="fr-FR"/>
        </w:rPr>
      </w:pPr>
    </w:p>
    <w:p w:rsidR="00B72DCA" w:rsidRPr="009C23AD" w:rsidRDefault="00B72DCA" w:rsidP="00051F2A">
      <w:pPr>
        <w:pStyle w:val="CC"/>
        <w:ind w:left="426"/>
      </w:pPr>
      <w:r w:rsidRPr="00814AF7">
        <w:t xml:space="preserve">Alors que les </w:t>
      </w:r>
      <w:r w:rsidRPr="009C23AD">
        <w:rPr>
          <w:b/>
          <w:i/>
        </w:rPr>
        <w:t>firmes</w:t>
      </w:r>
      <w:r w:rsidRPr="009C23AD">
        <w:rPr>
          <w:i/>
        </w:rPr>
        <w:t xml:space="preserve"> </w:t>
      </w:r>
      <w:r w:rsidRPr="009C23AD">
        <w:rPr>
          <w:b/>
          <w:i/>
        </w:rPr>
        <w:t>exportatrices</w:t>
      </w:r>
      <w:r w:rsidRPr="00814AF7">
        <w:t xml:space="preserve"> affichaient un </w:t>
      </w:r>
      <w:r>
        <w:t xml:space="preserve">pessimisme </w:t>
      </w:r>
      <w:r w:rsidRPr="00814AF7">
        <w:t xml:space="preserve">plus </w:t>
      </w:r>
      <w:r>
        <w:t xml:space="preserve">important que les entreprises orientées vers le seul </w:t>
      </w:r>
      <w:r w:rsidRPr="009C23AD">
        <w:t xml:space="preserve">marché national lors de la précédente enquête, cette tendance s’est inversée dans l’EES2011. En effet, alors que les firmes ayant des activités d’exportation ont une relative confiance en l’avenir du climat des affaires, qui se traduit par une balance positive (5,3 points), les entreprises dont les activités sont concentrées sur le marché luxembourgeois prévoient une détérioration de l’environnement économique en 2011, la balance des résultats s’élevant </w:t>
      </w:r>
      <w:proofErr w:type="gramStart"/>
      <w:r w:rsidRPr="009C23AD">
        <w:t>à</w:t>
      </w:r>
      <w:proofErr w:type="gramEnd"/>
      <w:r w:rsidRPr="009C23AD">
        <w:t xml:space="preserve"> -6,2%.</w:t>
      </w:r>
    </w:p>
    <w:p w:rsidR="005954CE" w:rsidRPr="001749A1" w:rsidRDefault="005954CE" w:rsidP="00911674">
      <w:pPr>
        <w:ind w:left="360"/>
        <w:jc w:val="both"/>
        <w:rPr>
          <w:rFonts w:ascii="Arial" w:hAnsi="Arial" w:cs="Arial"/>
          <w:sz w:val="22"/>
          <w:szCs w:val="22"/>
          <w:lang w:val="fr-FR"/>
        </w:rPr>
      </w:pPr>
    </w:p>
    <w:p w:rsidR="0014339D" w:rsidRPr="001749A1" w:rsidRDefault="006631C5" w:rsidP="006631C5">
      <w:pPr>
        <w:jc w:val="both"/>
        <w:rPr>
          <w:rFonts w:ascii="Arial" w:hAnsi="Arial" w:cs="Arial"/>
          <w:b/>
          <w:sz w:val="22"/>
          <w:szCs w:val="22"/>
          <w:lang w:val="fr-FR"/>
        </w:rPr>
      </w:pPr>
      <w:r w:rsidRPr="001749A1">
        <w:rPr>
          <w:rFonts w:ascii="Arial" w:hAnsi="Arial" w:cs="Arial"/>
          <w:b/>
          <w:sz w:val="22"/>
          <w:szCs w:val="22"/>
          <w:lang w:val="fr-FR"/>
        </w:rPr>
        <w:t xml:space="preserve">2. Chiffre d’affaires total, national et à l’exportation : une reprise </w:t>
      </w:r>
      <w:r w:rsidR="00BC25DF">
        <w:rPr>
          <w:rFonts w:ascii="Arial" w:hAnsi="Arial" w:cs="Arial"/>
          <w:b/>
          <w:sz w:val="22"/>
          <w:szCs w:val="22"/>
          <w:lang w:val="fr-FR"/>
        </w:rPr>
        <w:t>mécanique</w:t>
      </w:r>
    </w:p>
    <w:p w:rsidR="00EC10EF" w:rsidRPr="001749A1" w:rsidRDefault="00EC10EF" w:rsidP="00375658">
      <w:pPr>
        <w:jc w:val="both"/>
        <w:rPr>
          <w:rFonts w:ascii="Arial" w:hAnsi="Arial" w:cs="Arial"/>
          <w:sz w:val="22"/>
          <w:szCs w:val="22"/>
          <w:lang w:val="fr-FR"/>
        </w:rPr>
      </w:pPr>
    </w:p>
    <w:p w:rsidR="006631C5" w:rsidRPr="00FF0DE2" w:rsidRDefault="004F5791" w:rsidP="00375658">
      <w:pPr>
        <w:pStyle w:val="ListParagraph"/>
        <w:numPr>
          <w:ilvl w:val="0"/>
          <w:numId w:val="18"/>
        </w:numPr>
        <w:jc w:val="both"/>
        <w:rPr>
          <w:rFonts w:ascii="Arial" w:hAnsi="Arial" w:cs="Arial"/>
          <w:sz w:val="22"/>
          <w:szCs w:val="22"/>
          <w:lang w:val="fr-FR"/>
        </w:rPr>
      </w:pPr>
      <w:r w:rsidRPr="001749A1">
        <w:rPr>
          <w:rFonts w:ascii="Arial" w:hAnsi="Arial" w:cs="Arial"/>
          <w:sz w:val="22"/>
          <w:szCs w:val="22"/>
          <w:lang w:val="fr-FR"/>
        </w:rPr>
        <w:t xml:space="preserve">Après une année 2008 maussade et une année 2009 exceptionnellement difficile en raison de la crise économique mondiale, une reprise est visible </w:t>
      </w:r>
      <w:r w:rsidRPr="001749A1">
        <w:rPr>
          <w:rFonts w:ascii="Arial" w:hAnsi="Arial" w:cs="Arial"/>
          <w:b/>
          <w:sz w:val="22"/>
          <w:szCs w:val="22"/>
          <w:lang w:val="fr-FR"/>
        </w:rPr>
        <w:t>en 2010</w:t>
      </w:r>
      <w:r w:rsidRPr="001749A1">
        <w:rPr>
          <w:rFonts w:ascii="Arial" w:hAnsi="Arial" w:cs="Arial"/>
          <w:sz w:val="22"/>
          <w:szCs w:val="22"/>
          <w:lang w:val="fr-FR"/>
        </w:rPr>
        <w:t xml:space="preserve"> en ce qui concerne l’évolution</w:t>
      </w:r>
      <w:r w:rsidRPr="004F5791">
        <w:rPr>
          <w:rFonts w:ascii="Arial" w:hAnsi="Arial" w:cs="Arial"/>
          <w:sz w:val="22"/>
          <w:szCs w:val="22"/>
          <w:lang w:val="fr-FR"/>
        </w:rPr>
        <w:t xml:space="preserve"> du </w:t>
      </w:r>
      <w:r w:rsidRPr="009C23AD">
        <w:rPr>
          <w:rFonts w:ascii="Arial" w:hAnsi="Arial" w:cs="Arial"/>
          <w:b/>
          <w:i/>
          <w:sz w:val="22"/>
          <w:szCs w:val="22"/>
          <w:lang w:val="fr-FR"/>
        </w:rPr>
        <w:t>chiffre d’affaires</w:t>
      </w:r>
      <w:r w:rsidR="00131C93" w:rsidRPr="009C23AD">
        <w:rPr>
          <w:rFonts w:ascii="Arial" w:hAnsi="Arial" w:cs="Arial"/>
          <w:b/>
          <w:i/>
          <w:sz w:val="22"/>
          <w:szCs w:val="22"/>
          <w:lang w:val="fr-FR"/>
        </w:rPr>
        <w:t xml:space="preserve"> total</w:t>
      </w:r>
      <w:r w:rsidRPr="009C23AD">
        <w:rPr>
          <w:rFonts w:ascii="Arial" w:hAnsi="Arial" w:cs="Arial"/>
          <w:i/>
          <w:sz w:val="22"/>
          <w:szCs w:val="22"/>
          <w:lang w:val="fr-FR"/>
        </w:rPr>
        <w:t>.</w:t>
      </w:r>
      <w:r w:rsidRPr="004F5791">
        <w:rPr>
          <w:rFonts w:ascii="Arial" w:hAnsi="Arial" w:cs="Arial"/>
          <w:sz w:val="22"/>
          <w:szCs w:val="22"/>
          <w:lang w:val="fr-FR"/>
        </w:rPr>
        <w:t xml:space="preserve"> </w:t>
      </w:r>
      <w:r w:rsidR="009C23AD">
        <w:rPr>
          <w:rFonts w:ascii="Arial" w:hAnsi="Arial" w:cs="Arial"/>
          <w:sz w:val="22"/>
          <w:szCs w:val="22"/>
          <w:lang w:val="fr-FR"/>
        </w:rPr>
        <w:t>Le résultat positif</w:t>
      </w:r>
      <w:r w:rsidR="00966E75" w:rsidRPr="00FF0DE2">
        <w:rPr>
          <w:rFonts w:ascii="Arial" w:hAnsi="Arial" w:cs="Arial"/>
          <w:sz w:val="22"/>
          <w:szCs w:val="22"/>
          <w:lang w:val="fr-FR"/>
        </w:rPr>
        <w:t xml:space="preserve"> de la balance </w:t>
      </w:r>
      <w:r w:rsidR="009C23AD">
        <w:rPr>
          <w:rFonts w:ascii="Arial" w:hAnsi="Arial" w:cs="Arial"/>
          <w:sz w:val="22"/>
          <w:szCs w:val="22"/>
          <w:lang w:val="fr-FR"/>
        </w:rPr>
        <w:t>de</w:t>
      </w:r>
      <w:r w:rsidR="00966E75" w:rsidRPr="00FF0DE2">
        <w:rPr>
          <w:rFonts w:ascii="Arial" w:hAnsi="Arial" w:cs="Arial"/>
          <w:sz w:val="22"/>
          <w:szCs w:val="22"/>
          <w:lang w:val="fr-FR"/>
        </w:rPr>
        <w:t xml:space="preserve"> l’économie totale (9,8 points) est largement imputable au secteur des services (16,3 points) alors que la balance du secteur manufacturier, malgré une importante progression, reste négative (-3,6 points).</w:t>
      </w:r>
      <w:r w:rsidR="00966E75">
        <w:rPr>
          <w:rFonts w:ascii="Arial" w:hAnsi="Arial" w:cs="Arial"/>
          <w:sz w:val="22"/>
          <w:szCs w:val="22"/>
          <w:lang w:val="fr-FR"/>
        </w:rPr>
        <w:t xml:space="preserve"> </w:t>
      </w:r>
      <w:r w:rsidR="009C23AD">
        <w:rPr>
          <w:rFonts w:ascii="Arial" w:hAnsi="Arial" w:cs="Arial"/>
          <w:sz w:val="22"/>
          <w:szCs w:val="22"/>
          <w:lang w:val="fr-FR"/>
        </w:rPr>
        <w:t xml:space="preserve">Les </w:t>
      </w:r>
      <w:r w:rsidRPr="004F5791">
        <w:rPr>
          <w:rFonts w:ascii="Arial" w:hAnsi="Arial" w:cs="Arial"/>
          <w:sz w:val="22"/>
          <w:szCs w:val="22"/>
          <w:lang w:val="fr-FR"/>
        </w:rPr>
        <w:t>niveau</w:t>
      </w:r>
      <w:r w:rsidR="009C23AD">
        <w:rPr>
          <w:rFonts w:ascii="Arial" w:hAnsi="Arial" w:cs="Arial"/>
          <w:sz w:val="22"/>
          <w:szCs w:val="22"/>
          <w:lang w:val="fr-FR"/>
        </w:rPr>
        <w:t>x</w:t>
      </w:r>
      <w:r w:rsidRPr="004F5791">
        <w:rPr>
          <w:rFonts w:ascii="Arial" w:hAnsi="Arial" w:cs="Arial"/>
          <w:sz w:val="22"/>
          <w:szCs w:val="22"/>
          <w:lang w:val="fr-FR"/>
        </w:rPr>
        <w:t xml:space="preserve"> d’avant-crise </w:t>
      </w:r>
      <w:r w:rsidR="009C23AD">
        <w:rPr>
          <w:rFonts w:ascii="Arial" w:hAnsi="Arial" w:cs="Arial"/>
          <w:sz w:val="22"/>
          <w:szCs w:val="22"/>
          <w:lang w:val="fr-FR"/>
        </w:rPr>
        <w:t>ne sont</w:t>
      </w:r>
      <w:r w:rsidRPr="004F5791">
        <w:rPr>
          <w:rFonts w:ascii="Arial" w:hAnsi="Arial" w:cs="Arial"/>
          <w:sz w:val="22"/>
          <w:szCs w:val="22"/>
          <w:lang w:val="fr-FR"/>
        </w:rPr>
        <w:t xml:space="preserve"> </w:t>
      </w:r>
      <w:r w:rsidR="009C23AD">
        <w:rPr>
          <w:rFonts w:ascii="Arial" w:hAnsi="Arial" w:cs="Arial"/>
          <w:sz w:val="22"/>
          <w:szCs w:val="22"/>
          <w:lang w:val="fr-FR"/>
        </w:rPr>
        <w:t xml:space="preserve">toutefois </w:t>
      </w:r>
      <w:r w:rsidRPr="004F5791">
        <w:rPr>
          <w:rFonts w:ascii="Arial" w:hAnsi="Arial" w:cs="Arial"/>
          <w:sz w:val="22"/>
          <w:szCs w:val="22"/>
          <w:lang w:val="fr-FR"/>
        </w:rPr>
        <w:t xml:space="preserve">pas encore </w:t>
      </w:r>
      <w:r w:rsidR="009C23AD" w:rsidRPr="004F5791">
        <w:rPr>
          <w:rFonts w:ascii="Arial" w:hAnsi="Arial" w:cs="Arial"/>
          <w:sz w:val="22"/>
          <w:szCs w:val="22"/>
          <w:lang w:val="fr-FR"/>
        </w:rPr>
        <w:t>atteints</w:t>
      </w:r>
      <w:r w:rsidRPr="004F5791">
        <w:rPr>
          <w:rFonts w:ascii="Arial" w:hAnsi="Arial" w:cs="Arial"/>
          <w:sz w:val="22"/>
          <w:szCs w:val="22"/>
          <w:lang w:val="fr-FR"/>
        </w:rPr>
        <w:t xml:space="preserve"> </w:t>
      </w:r>
      <w:r w:rsidR="009C23AD">
        <w:rPr>
          <w:rFonts w:ascii="Arial" w:hAnsi="Arial" w:cs="Arial"/>
          <w:sz w:val="22"/>
          <w:szCs w:val="22"/>
          <w:lang w:val="fr-FR"/>
        </w:rPr>
        <w:t>et</w:t>
      </w:r>
      <w:r w:rsidRPr="004F5791">
        <w:rPr>
          <w:rFonts w:ascii="Arial" w:hAnsi="Arial" w:cs="Arial"/>
          <w:sz w:val="22"/>
          <w:szCs w:val="22"/>
          <w:lang w:val="fr-FR"/>
        </w:rPr>
        <w:t xml:space="preserve"> les coûts des facteurs de production ont progressé rapidement, avec des effets négatifs </w:t>
      </w:r>
      <w:r w:rsidR="00740AB9">
        <w:rPr>
          <w:rFonts w:ascii="Arial" w:hAnsi="Arial" w:cs="Arial"/>
          <w:sz w:val="22"/>
          <w:szCs w:val="22"/>
          <w:lang w:val="fr-FR"/>
        </w:rPr>
        <w:t>sur les marges des entreprises, ce qui</w:t>
      </w:r>
      <w:r w:rsidRPr="004F5791">
        <w:rPr>
          <w:rFonts w:ascii="Arial" w:hAnsi="Arial" w:cs="Arial"/>
          <w:sz w:val="22"/>
          <w:szCs w:val="22"/>
          <w:lang w:val="fr-FR"/>
        </w:rPr>
        <w:t xml:space="preserve"> affecte la confiance des entreprises dans l’avenir, notamment leur propension à investir et à recruter.</w:t>
      </w:r>
      <w:r w:rsidR="00FF0DE2">
        <w:rPr>
          <w:rFonts w:ascii="Arial" w:hAnsi="Arial" w:cs="Arial"/>
          <w:sz w:val="22"/>
          <w:szCs w:val="22"/>
          <w:lang w:val="fr-FR"/>
        </w:rPr>
        <w:t xml:space="preserve"> </w:t>
      </w:r>
    </w:p>
    <w:p w:rsidR="00513A86" w:rsidRPr="00513A86" w:rsidRDefault="00513A86" w:rsidP="00513A86">
      <w:pPr>
        <w:jc w:val="both"/>
        <w:rPr>
          <w:rFonts w:ascii="Arial" w:hAnsi="Arial" w:cs="Arial"/>
          <w:sz w:val="22"/>
          <w:szCs w:val="22"/>
          <w:lang w:val="fr-FR"/>
        </w:rPr>
      </w:pPr>
    </w:p>
    <w:p w:rsidR="006631C5" w:rsidRPr="00EB4215" w:rsidRDefault="00513A86" w:rsidP="00375658">
      <w:pPr>
        <w:pStyle w:val="ListParagraph"/>
        <w:numPr>
          <w:ilvl w:val="0"/>
          <w:numId w:val="18"/>
        </w:numPr>
        <w:jc w:val="both"/>
        <w:rPr>
          <w:rFonts w:ascii="Arial" w:hAnsi="Arial" w:cs="Arial"/>
          <w:sz w:val="22"/>
          <w:szCs w:val="22"/>
          <w:lang w:val="fr-FR"/>
        </w:rPr>
      </w:pPr>
      <w:r w:rsidRPr="005278C7">
        <w:rPr>
          <w:rFonts w:ascii="Arial" w:hAnsi="Arial" w:cs="Arial"/>
          <w:sz w:val="22"/>
          <w:szCs w:val="22"/>
          <w:lang w:val="fr-FR"/>
        </w:rPr>
        <w:t xml:space="preserve">Que ce soit en matière de </w:t>
      </w:r>
      <w:r w:rsidRPr="00740AB9">
        <w:rPr>
          <w:rFonts w:ascii="Arial" w:hAnsi="Arial" w:cs="Arial"/>
          <w:b/>
          <w:i/>
          <w:sz w:val="22"/>
          <w:szCs w:val="22"/>
          <w:lang w:val="fr-FR"/>
        </w:rPr>
        <w:t>chiffre d’affaires national</w:t>
      </w:r>
      <w:r w:rsidRPr="005278C7">
        <w:rPr>
          <w:rFonts w:ascii="Arial" w:hAnsi="Arial" w:cs="Arial"/>
          <w:sz w:val="22"/>
          <w:szCs w:val="22"/>
          <w:lang w:val="fr-FR"/>
        </w:rPr>
        <w:t xml:space="preserve"> ou </w:t>
      </w:r>
      <w:r w:rsidRPr="00740AB9">
        <w:rPr>
          <w:rFonts w:ascii="Arial" w:hAnsi="Arial" w:cs="Arial"/>
          <w:b/>
          <w:i/>
          <w:sz w:val="22"/>
          <w:szCs w:val="22"/>
          <w:lang w:val="fr-FR"/>
        </w:rPr>
        <w:t>à l’exportation</w:t>
      </w:r>
      <w:r w:rsidRPr="005278C7">
        <w:rPr>
          <w:rFonts w:ascii="Arial" w:hAnsi="Arial" w:cs="Arial"/>
          <w:b/>
          <w:sz w:val="22"/>
          <w:szCs w:val="22"/>
          <w:lang w:val="fr-FR"/>
        </w:rPr>
        <w:t xml:space="preserve"> pour 2010</w:t>
      </w:r>
      <w:r w:rsidRPr="005278C7">
        <w:rPr>
          <w:rFonts w:ascii="Arial" w:hAnsi="Arial" w:cs="Arial"/>
          <w:sz w:val="22"/>
          <w:szCs w:val="22"/>
          <w:lang w:val="fr-FR"/>
        </w:rPr>
        <w:t>, les balances nettes ont connu une croissance spectaculaire depuis la précédente enquête, et ce quels que soient le secteur et la taille des entreprises.</w:t>
      </w:r>
      <w:r w:rsidR="00EB4215">
        <w:rPr>
          <w:rFonts w:ascii="Arial" w:hAnsi="Arial" w:cs="Arial"/>
          <w:sz w:val="22"/>
          <w:szCs w:val="22"/>
          <w:lang w:val="fr-FR"/>
        </w:rPr>
        <w:t xml:space="preserve"> </w:t>
      </w:r>
      <w:r w:rsidR="00EB4215" w:rsidRPr="00EB4215">
        <w:rPr>
          <w:rFonts w:ascii="Arial" w:hAnsi="Arial" w:cs="Arial"/>
          <w:sz w:val="22"/>
          <w:szCs w:val="22"/>
          <w:lang w:val="fr-FR"/>
        </w:rPr>
        <w:t>Alors que l’enquête précédente révélait que la mise en œuvre des mesures du Plan de conjoncture du Gouvernement, en particulier en matière de soutien du pouvoir d’achat, avait permise aux entreprises orientés vers le marché local d’être moins affectées par une baisse soudaine de chiffre d’affaires que les entreprises exportatrices, ces dernières ont davantage profité de la reprise tirée par la demande internationale.</w:t>
      </w:r>
    </w:p>
    <w:p w:rsidR="00EB4215" w:rsidRPr="001749A1" w:rsidRDefault="00EB4215" w:rsidP="00EB4215">
      <w:pPr>
        <w:ind w:left="720"/>
        <w:rPr>
          <w:szCs w:val="22"/>
          <w:u w:val="single"/>
          <w:lang w:val="fr-FR"/>
        </w:rPr>
      </w:pPr>
    </w:p>
    <w:p w:rsidR="00EB4215" w:rsidRPr="004060EB" w:rsidRDefault="00EB4215" w:rsidP="00EB4215">
      <w:pPr>
        <w:pStyle w:val="CC"/>
        <w:numPr>
          <w:ilvl w:val="0"/>
          <w:numId w:val="18"/>
        </w:numPr>
        <w:rPr>
          <w:szCs w:val="22"/>
        </w:rPr>
      </w:pPr>
      <w:r>
        <w:t xml:space="preserve">S’agissant du </w:t>
      </w:r>
      <w:r w:rsidRPr="00740AB9">
        <w:rPr>
          <w:b/>
          <w:i/>
        </w:rPr>
        <w:t>chiffre d’affaires total</w:t>
      </w:r>
      <w:r>
        <w:t xml:space="preserve">, les </w:t>
      </w:r>
      <w:r w:rsidRPr="005726C5">
        <w:t xml:space="preserve">indicateurs </w:t>
      </w:r>
      <w:r w:rsidRPr="00EB4215">
        <w:t>de</w:t>
      </w:r>
      <w:r w:rsidRPr="0004666B">
        <w:rPr>
          <w:b/>
        </w:rPr>
        <w:t xml:space="preserve"> prévisions pour 2011</w:t>
      </w:r>
      <w:r w:rsidRPr="005726C5">
        <w:t xml:space="preserve"> mettent</w:t>
      </w:r>
      <w:r>
        <w:t xml:space="preserve"> en </w:t>
      </w:r>
      <w:r w:rsidRPr="0051556C">
        <w:t>évidence un regain d’optimisme,</w:t>
      </w:r>
      <w:r>
        <w:t xml:space="preserve"> particulièrement dans le </w:t>
      </w:r>
      <w:r w:rsidRPr="00EB4215">
        <w:t>secteur des services</w:t>
      </w:r>
      <w:r>
        <w:t xml:space="preserve"> (</w:t>
      </w:r>
      <w:r w:rsidR="007514FC">
        <w:t xml:space="preserve">illustré par une balance de </w:t>
      </w:r>
      <w:r>
        <w:t>28,5 points</w:t>
      </w:r>
      <w:r w:rsidR="007514FC">
        <w:t xml:space="preserve">), ce qui </w:t>
      </w:r>
      <w:r>
        <w:t>induit à la hausse une fois de plus les chiffres relatifs</w:t>
      </w:r>
      <w:r w:rsidR="007514FC">
        <w:t xml:space="preserve"> à l’économie totale </w:t>
      </w:r>
      <w:r>
        <w:t>(22,1 points)</w:t>
      </w:r>
      <w:r w:rsidR="00740AB9">
        <w:t>,</w:t>
      </w:r>
      <w:r>
        <w:t xml:space="preserve"> </w:t>
      </w:r>
      <w:r w:rsidR="007514FC">
        <w:t>alors que les</w:t>
      </w:r>
      <w:r>
        <w:t xml:space="preserve"> perspectives</w:t>
      </w:r>
      <w:r w:rsidR="007514FC">
        <w:t xml:space="preserve"> s’avèrent</w:t>
      </w:r>
      <w:r>
        <w:t xml:space="preserve"> plus mitigées dans le </w:t>
      </w:r>
      <w:r w:rsidRPr="00514978">
        <w:t>secteur manufacturier</w:t>
      </w:r>
      <w:r w:rsidRPr="0004666B">
        <w:rPr>
          <w:i/>
        </w:rPr>
        <w:t xml:space="preserve"> </w:t>
      </w:r>
      <w:r w:rsidRPr="005726C5">
        <w:t>(</w:t>
      </w:r>
      <w:r>
        <w:t>8,6 points).</w:t>
      </w:r>
      <w:r w:rsidRPr="00EA10AE">
        <w:t xml:space="preserve"> </w:t>
      </w:r>
      <w:r w:rsidR="0090475D">
        <w:t>E</w:t>
      </w:r>
      <w:r>
        <w:t>nviron la moitié des entreprises</w:t>
      </w:r>
      <w:r w:rsidRPr="00EA10AE">
        <w:t xml:space="preserve"> </w:t>
      </w:r>
      <w:r>
        <w:t xml:space="preserve">des deux secteurs </w:t>
      </w:r>
      <w:r w:rsidRPr="00EA10AE">
        <w:t xml:space="preserve">s’attendent </w:t>
      </w:r>
      <w:r w:rsidR="0090475D">
        <w:t xml:space="preserve">toutefois </w:t>
      </w:r>
      <w:r w:rsidRPr="00EA10AE">
        <w:t xml:space="preserve">à une stabilisation de </w:t>
      </w:r>
      <w:r>
        <w:t>leur chiffre d’affaires en 2011.</w:t>
      </w:r>
      <w:r w:rsidR="00531857">
        <w:t xml:space="preserve"> </w:t>
      </w:r>
      <w:r w:rsidRPr="0004666B">
        <w:rPr>
          <w:szCs w:val="22"/>
        </w:rPr>
        <w:t>Quels que soient la taille ou le secteur d’activité des entreprises, les balances en termes de perspectives sont à nouveau positives, ce qui semble traduire une relative confiance en la reprise économique à court terme</w:t>
      </w:r>
      <w:r w:rsidR="0004666B" w:rsidRPr="0004666B">
        <w:rPr>
          <w:szCs w:val="22"/>
        </w:rPr>
        <w:t xml:space="preserve"> </w:t>
      </w:r>
      <w:r w:rsidR="004060EB">
        <w:rPr>
          <w:szCs w:val="22"/>
        </w:rPr>
        <w:t>bien qu’</w:t>
      </w:r>
      <w:r w:rsidR="0004666B" w:rsidRPr="0004666B">
        <w:rPr>
          <w:szCs w:val="22"/>
        </w:rPr>
        <w:t>une p</w:t>
      </w:r>
      <w:r w:rsidRPr="0004666B">
        <w:rPr>
          <w:szCs w:val="22"/>
        </w:rPr>
        <w:t xml:space="preserve">art importante de firmes </w:t>
      </w:r>
      <w:r w:rsidR="0004666B" w:rsidRPr="0004666B">
        <w:rPr>
          <w:szCs w:val="22"/>
        </w:rPr>
        <w:t>estime</w:t>
      </w:r>
      <w:r w:rsidRPr="0004666B">
        <w:rPr>
          <w:szCs w:val="22"/>
        </w:rPr>
        <w:t xml:space="preserve"> que leur chiffre d’</w:t>
      </w:r>
      <w:r w:rsidR="0004666B">
        <w:rPr>
          <w:szCs w:val="22"/>
        </w:rPr>
        <w:t>affaires restera stable en 2011.</w:t>
      </w:r>
      <w:r w:rsidR="004060EB">
        <w:rPr>
          <w:szCs w:val="22"/>
        </w:rPr>
        <w:t xml:space="preserve"> </w:t>
      </w:r>
      <w:r w:rsidRPr="004060EB">
        <w:rPr>
          <w:szCs w:val="22"/>
        </w:rPr>
        <w:t xml:space="preserve">Si, comme lors des enquêtes précédentes, les indicateurs de résultats collectés dans la prochaine enquête s’avèrent supérieurs aux prévisions des entreprises </w:t>
      </w:r>
      <w:r w:rsidRPr="004060EB">
        <w:rPr>
          <w:szCs w:val="22"/>
        </w:rPr>
        <w:lastRenderedPageBreak/>
        <w:t xml:space="preserve">mises en évidence par cette enquête EES2011, les chiffres sont d’autant plus encourageants. </w:t>
      </w:r>
    </w:p>
    <w:p w:rsidR="00EB4215" w:rsidRPr="001749A1" w:rsidRDefault="00EB4215" w:rsidP="00EB4215">
      <w:pPr>
        <w:rPr>
          <w:szCs w:val="22"/>
          <w:lang w:val="fr-FR"/>
        </w:rPr>
      </w:pPr>
    </w:p>
    <w:p w:rsidR="00EB4215" w:rsidRPr="00B5496E" w:rsidRDefault="00C1432F" w:rsidP="00EB4215">
      <w:pPr>
        <w:pStyle w:val="CC"/>
        <w:numPr>
          <w:ilvl w:val="0"/>
          <w:numId w:val="18"/>
        </w:numPr>
      </w:pPr>
      <w:r w:rsidRPr="00CA54CC">
        <w:t xml:space="preserve">Après une crise </w:t>
      </w:r>
      <w:r>
        <w:t>économique mondiale</w:t>
      </w:r>
      <w:r w:rsidRPr="00CA54CC">
        <w:t xml:space="preserve"> ayant fortement impacté la demande internationale et</w:t>
      </w:r>
      <w:r>
        <w:t>,</w:t>
      </w:r>
      <w:r w:rsidRPr="00CA54CC">
        <w:t xml:space="preserve"> par conséquent</w:t>
      </w:r>
      <w:r>
        <w:t>,</w:t>
      </w:r>
      <w:r w:rsidRPr="00CA54CC">
        <w:t xml:space="preserve"> les acti</w:t>
      </w:r>
      <w:r w:rsidR="005C46DD">
        <w:t xml:space="preserve">vités des firmes exportatrices retrouvent une certaine vigueur </w:t>
      </w:r>
      <w:r w:rsidRPr="00CA54CC">
        <w:t xml:space="preserve">au vu de </w:t>
      </w:r>
      <w:r w:rsidRPr="005C46DD">
        <w:t>la balance en termes de</w:t>
      </w:r>
      <w:r w:rsidRPr="00514555">
        <w:rPr>
          <w:b/>
        </w:rPr>
        <w:t xml:space="preserve"> perspectives</w:t>
      </w:r>
      <w:r>
        <w:t xml:space="preserve">, qui s’avère légèrement </w:t>
      </w:r>
      <w:r w:rsidRPr="00CA54CC">
        <w:t xml:space="preserve">plus élevée pour les </w:t>
      </w:r>
      <w:r w:rsidRPr="005C46DD">
        <w:rPr>
          <w:b/>
          <w:i/>
        </w:rPr>
        <w:t>entreprises qui exportent</w:t>
      </w:r>
      <w:r w:rsidRPr="00CA54CC">
        <w:t xml:space="preserve"> </w:t>
      </w:r>
      <w:r>
        <w:t xml:space="preserve">(25,9 points). Cette évolution semble avoir un effet d’entraînement positif également sur les </w:t>
      </w:r>
      <w:r w:rsidRPr="005C46DD">
        <w:rPr>
          <w:b/>
          <w:i/>
        </w:rPr>
        <w:t>entreprises opérant uniquement sur le marché local</w:t>
      </w:r>
      <w:r>
        <w:t xml:space="preserve"> (balance de 21,5 points).</w:t>
      </w:r>
      <w:r w:rsidR="00B5496E">
        <w:t xml:space="preserve"> </w:t>
      </w:r>
      <w:r w:rsidR="00EB4215" w:rsidRPr="00B5496E">
        <w:rPr>
          <w:szCs w:val="22"/>
        </w:rPr>
        <w:t>Après avoir subi plus fortement la crise des débouchés internationaux que les entreprises de services, le secteur manufacturier semble reprendre confiance en la reprise qui a débuté.</w:t>
      </w:r>
    </w:p>
    <w:p w:rsidR="00EB4215" w:rsidRPr="008B2FAF" w:rsidRDefault="00EB4215" w:rsidP="00443F31">
      <w:pPr>
        <w:pStyle w:val="CC"/>
      </w:pPr>
    </w:p>
    <w:p w:rsidR="00EB4215" w:rsidRPr="007A3BA3" w:rsidRDefault="00EB4215" w:rsidP="002D7F05">
      <w:pPr>
        <w:pStyle w:val="CC"/>
        <w:numPr>
          <w:ilvl w:val="0"/>
          <w:numId w:val="18"/>
        </w:numPr>
      </w:pPr>
      <w:r w:rsidRPr="008B2FAF">
        <w:t xml:space="preserve">Similairement aux prévisions pour le chiffre d’affaire global, les perspectives sont plus pessimistes dans le </w:t>
      </w:r>
      <w:r w:rsidRPr="00643E22">
        <w:t>secteur de la construction, que</w:t>
      </w:r>
      <w:r w:rsidRPr="008B2FAF">
        <w:t xml:space="preserve"> les firmes exportent ou non.  </w:t>
      </w:r>
      <w:r w:rsidRPr="007A3BA3">
        <w:rPr>
          <w:szCs w:val="22"/>
        </w:rPr>
        <w:t xml:space="preserve">Selon la </w:t>
      </w:r>
      <w:r w:rsidRPr="002D1258">
        <w:rPr>
          <w:szCs w:val="22"/>
        </w:rPr>
        <w:t>taille des entreprises interrogées</w:t>
      </w:r>
      <w:r w:rsidRPr="007A3BA3">
        <w:rPr>
          <w:szCs w:val="22"/>
        </w:rPr>
        <w:t>, les perspectives diffèrent quel</w:t>
      </w:r>
      <w:r w:rsidR="007A3BA3">
        <w:rPr>
          <w:szCs w:val="22"/>
        </w:rPr>
        <w:t>que peu mais restent positives.</w:t>
      </w:r>
    </w:p>
    <w:p w:rsidR="00EB4215" w:rsidRDefault="00EB4215" w:rsidP="00EB4215">
      <w:pPr>
        <w:rPr>
          <w:rFonts w:eastAsiaTheme="majorEastAsia" w:cstheme="majorBidi"/>
          <w:b/>
          <w:bCs/>
          <w:szCs w:val="26"/>
          <w:lang w:val="fr-BE"/>
        </w:rPr>
      </w:pPr>
    </w:p>
    <w:p w:rsidR="006631C5" w:rsidRPr="002D7F05" w:rsidRDefault="002D7F05" w:rsidP="00375658">
      <w:pPr>
        <w:jc w:val="both"/>
        <w:rPr>
          <w:rFonts w:ascii="Arial" w:hAnsi="Arial" w:cs="Arial"/>
          <w:b/>
          <w:sz w:val="22"/>
          <w:szCs w:val="22"/>
          <w:lang w:val="fr-BE"/>
        </w:rPr>
      </w:pPr>
      <w:r w:rsidRPr="002D7F05">
        <w:rPr>
          <w:rFonts w:ascii="Arial" w:hAnsi="Arial" w:cs="Arial"/>
          <w:b/>
          <w:sz w:val="22"/>
          <w:szCs w:val="22"/>
          <w:lang w:val="fr-BE"/>
        </w:rPr>
        <w:t xml:space="preserve">3. Emploi : </w:t>
      </w:r>
      <w:r w:rsidR="00D46513">
        <w:rPr>
          <w:rFonts w:ascii="Arial" w:hAnsi="Arial" w:cs="Arial"/>
          <w:b/>
          <w:sz w:val="22"/>
          <w:szCs w:val="22"/>
          <w:lang w:val="fr-BE"/>
        </w:rPr>
        <w:t>peu de dynamisme sur le front de l’emploi en 2010 et 2011</w:t>
      </w:r>
    </w:p>
    <w:p w:rsidR="00CD158A" w:rsidRPr="001749A1" w:rsidRDefault="00CD158A" w:rsidP="00CD158A">
      <w:pPr>
        <w:jc w:val="both"/>
        <w:rPr>
          <w:rFonts w:ascii="Arial" w:hAnsi="Arial" w:cs="Arial"/>
          <w:sz w:val="22"/>
          <w:szCs w:val="22"/>
          <w:lang w:val="fr-FR"/>
        </w:rPr>
      </w:pPr>
    </w:p>
    <w:p w:rsidR="00CD158A" w:rsidRPr="00CD158A" w:rsidRDefault="00CD158A" w:rsidP="00CD158A">
      <w:pPr>
        <w:pStyle w:val="CC"/>
        <w:numPr>
          <w:ilvl w:val="0"/>
          <w:numId w:val="18"/>
        </w:numPr>
      </w:pPr>
      <w:r w:rsidRPr="00CD158A">
        <w:t xml:space="preserve">La reprise de l’activité luxembourgeoise en 2010 semble avoir permise à </w:t>
      </w:r>
      <w:r w:rsidRPr="00CD158A">
        <w:rPr>
          <w:b/>
        </w:rPr>
        <w:t xml:space="preserve">l’emploi </w:t>
      </w:r>
      <w:r w:rsidRPr="00CD158A">
        <w:t>de retrouver le timide chemin d</w:t>
      </w:r>
      <w:r w:rsidR="002D1258">
        <w:t>e la croissance</w:t>
      </w:r>
      <w:r w:rsidRPr="00CD158A">
        <w:t xml:space="preserve"> puisque 25,2% des entreprises déclarent une hausse de leur effectif </w:t>
      </w:r>
      <w:r w:rsidRPr="00CD158A">
        <w:rPr>
          <w:b/>
        </w:rPr>
        <w:t>en 2010 par rapport à 2009</w:t>
      </w:r>
      <w:r w:rsidRPr="00CD158A">
        <w:t>. Plus de 50% de ces mêmes entreprises indiquent que leur effectif est resté stable. Il est à noter à cet égard que, par rapport aux taux de croissance historique de l’emploi (4,25% en moyenne entre 2006 et 2008), même une relative stagnation de l’emploi, traduite par le taux de réponse important eu égard au maintien d’effectifs stables, a comme conséquence de faire apparaître des déséquilibres manifestes au niveau de financement du modèle social, tout comme elle entraînera sans doute une augmentation importante du chômage.</w:t>
      </w:r>
    </w:p>
    <w:p w:rsidR="0082182F" w:rsidRPr="001749A1" w:rsidRDefault="0082182F" w:rsidP="0082182F">
      <w:pPr>
        <w:autoSpaceDE w:val="0"/>
        <w:autoSpaceDN w:val="0"/>
        <w:adjustRightInd w:val="0"/>
        <w:ind w:left="720"/>
        <w:jc w:val="both"/>
        <w:rPr>
          <w:rFonts w:ascii="Arial" w:hAnsi="Arial" w:cs="Arial"/>
          <w:sz w:val="22"/>
          <w:szCs w:val="22"/>
          <w:lang w:val="fr-FR"/>
        </w:rPr>
      </w:pPr>
    </w:p>
    <w:p w:rsidR="002777A5" w:rsidRPr="001749A1" w:rsidRDefault="002777A5" w:rsidP="00D8330D">
      <w:pPr>
        <w:pStyle w:val="CC"/>
        <w:numPr>
          <w:ilvl w:val="0"/>
          <w:numId w:val="18"/>
        </w:numPr>
      </w:pPr>
      <w:r w:rsidRPr="001749A1">
        <w:t xml:space="preserve">Une tendance </w:t>
      </w:r>
      <w:r w:rsidR="002D1258" w:rsidRPr="001749A1">
        <w:t>à la stabilité</w:t>
      </w:r>
      <w:r w:rsidRPr="001749A1">
        <w:t xml:space="preserve"> est observée </w:t>
      </w:r>
      <w:r w:rsidR="002D1258" w:rsidRPr="001749A1">
        <w:t xml:space="preserve">tant dans le </w:t>
      </w:r>
      <w:r w:rsidRPr="001749A1">
        <w:t xml:space="preserve">secteur de l’industrie </w:t>
      </w:r>
      <w:r w:rsidR="002D1258" w:rsidRPr="001749A1">
        <w:t xml:space="preserve">que dans celui des services puisque </w:t>
      </w:r>
      <w:r w:rsidR="00C97636" w:rsidRPr="001749A1">
        <w:t xml:space="preserve">plus </w:t>
      </w:r>
      <w:r w:rsidRPr="001749A1">
        <w:t>de 50% des entreprises indiqu</w:t>
      </w:r>
      <w:r w:rsidR="002D1258" w:rsidRPr="001749A1">
        <w:t>e</w:t>
      </w:r>
      <w:r w:rsidRPr="001749A1">
        <w:t xml:space="preserve">nt </w:t>
      </w:r>
      <w:r w:rsidR="002D1258" w:rsidRPr="001749A1">
        <w:t xml:space="preserve">que leur effectif est resté inchangé </w:t>
      </w:r>
      <w:r w:rsidRPr="001749A1">
        <w:t>entre 2009 et 2010. Cette évolution confirme que la dégradation continue de la compétitive-coût et prix de l’écon</w:t>
      </w:r>
      <w:r w:rsidR="002D1258" w:rsidRPr="001749A1">
        <w:t xml:space="preserve">omie luxembourgeoise en général, </w:t>
      </w:r>
      <w:r w:rsidRPr="001749A1">
        <w:t>et dans le secteur industriel en particulier, amène les entrepreneurs à freiner les embauches sous toile de fonds d’un niveau d’activité futur pour le moins incertain.</w:t>
      </w:r>
    </w:p>
    <w:p w:rsidR="002777A5" w:rsidRPr="001749A1" w:rsidRDefault="002777A5" w:rsidP="002777A5">
      <w:pPr>
        <w:rPr>
          <w:rFonts w:ascii="Arial" w:hAnsi="Arial" w:cs="Arial"/>
          <w:sz w:val="22"/>
          <w:szCs w:val="22"/>
          <w:lang w:val="fr-LU"/>
        </w:rPr>
      </w:pPr>
    </w:p>
    <w:p w:rsidR="00D8330D" w:rsidRPr="00EB6328" w:rsidRDefault="00B437B1" w:rsidP="00B437B1">
      <w:pPr>
        <w:pStyle w:val="CC"/>
        <w:ind w:left="426" w:hanging="426"/>
      </w:pPr>
      <w:r w:rsidRPr="001749A1">
        <w:tab/>
      </w:r>
      <w:r w:rsidR="00D8330D" w:rsidRPr="001749A1">
        <w:t xml:space="preserve">Au sein des </w:t>
      </w:r>
      <w:r w:rsidR="00D8330D" w:rsidRPr="001749A1">
        <w:rPr>
          <w:b/>
          <w:i/>
        </w:rPr>
        <w:t>différents sous-secteurs</w:t>
      </w:r>
      <w:r w:rsidR="00D8330D" w:rsidRPr="001749A1">
        <w:t>, certaines entreprises semblent avoir été plus</w:t>
      </w:r>
      <w:r w:rsidR="00D8330D" w:rsidRPr="00EB6328">
        <w:t xml:space="preserve"> touchées que d’autres en termes de baisse d’effe</w:t>
      </w:r>
      <w:r w:rsidR="00EB6328" w:rsidRPr="00EB6328">
        <w:rPr>
          <w:szCs w:val="22"/>
        </w:rPr>
        <w:t xml:space="preserve">ctifs, tel que </w:t>
      </w:r>
      <w:r w:rsidR="00D8330D" w:rsidRPr="00EB6328">
        <w:t>le secteur de la construction</w:t>
      </w:r>
      <w:r>
        <w:t>,</w:t>
      </w:r>
      <w:r w:rsidR="00EB6328" w:rsidRPr="00EB6328">
        <w:rPr>
          <w:szCs w:val="22"/>
        </w:rPr>
        <w:t xml:space="preserve"> bien que plus de la moitié d</w:t>
      </w:r>
      <w:r>
        <w:t xml:space="preserve">es entreprises indiquent que leur </w:t>
      </w:r>
      <w:r w:rsidR="00D8330D" w:rsidRPr="00EB6328">
        <w:t xml:space="preserve">effectif est resté stable entre 2009 et 2010. </w:t>
      </w:r>
      <w:r w:rsidR="00EB6328" w:rsidRPr="00EB6328">
        <w:rPr>
          <w:szCs w:val="22"/>
        </w:rPr>
        <w:t>L</w:t>
      </w:r>
      <w:r w:rsidR="00D8330D" w:rsidRPr="00EB6328">
        <w:t>es résultats</w:t>
      </w:r>
      <w:r w:rsidR="00EB6328" w:rsidRPr="00EB6328">
        <w:rPr>
          <w:szCs w:val="22"/>
        </w:rPr>
        <w:t xml:space="preserve"> concernant le secteur financier </w:t>
      </w:r>
      <w:r w:rsidR="00D8330D" w:rsidRPr="00EB6328">
        <w:t>laissent penser qu’il n’y a pas encore de reprise franche de l'activité d'intermédiation financière et que des incertitudes existent quant à l’impact des nouvelles réglementations internationales sur le paysage de la place financière luxembourgeoise.</w:t>
      </w:r>
    </w:p>
    <w:p w:rsidR="00E31097" w:rsidRPr="001749A1" w:rsidRDefault="00E31097" w:rsidP="00E31097">
      <w:pPr>
        <w:rPr>
          <w:rFonts w:ascii="Arial" w:hAnsi="Arial" w:cs="Arial"/>
          <w:sz w:val="22"/>
          <w:szCs w:val="22"/>
          <w:lang w:val="fr-FR"/>
        </w:rPr>
      </w:pPr>
    </w:p>
    <w:p w:rsidR="00E31097" w:rsidRPr="001749A1" w:rsidRDefault="00E05FB4" w:rsidP="00E05FB4">
      <w:pPr>
        <w:pStyle w:val="CC"/>
        <w:ind w:left="426" w:hanging="426"/>
      </w:pPr>
      <w:r w:rsidRPr="001749A1">
        <w:tab/>
      </w:r>
      <w:r w:rsidR="00E31097" w:rsidRPr="001749A1">
        <w:t xml:space="preserve">Lorsqu’est prise en compte la </w:t>
      </w:r>
      <w:r w:rsidR="00E31097" w:rsidRPr="001749A1">
        <w:rPr>
          <w:b/>
          <w:i/>
        </w:rPr>
        <w:t>taille des entreprises</w:t>
      </w:r>
      <w:r w:rsidR="00E31097" w:rsidRPr="001749A1">
        <w:t xml:space="preserve"> interrogées, des</w:t>
      </w:r>
      <w:r w:rsidR="009B686B" w:rsidRPr="001749A1">
        <w:t xml:space="preserve"> résultats mitigés apparaissent</w:t>
      </w:r>
      <w:r w:rsidR="00E31097" w:rsidRPr="001749A1">
        <w:t xml:space="preserve">. </w:t>
      </w:r>
      <w:r w:rsidR="002D1258" w:rsidRPr="001749A1">
        <w:t>Dans le secteur manufacturier, l</w:t>
      </w:r>
      <w:r w:rsidR="00E31097" w:rsidRPr="001749A1">
        <w:t>es entreprises dont l’effectif dépasse 250 personnes semblent avoir mieux résisté à la crise</w:t>
      </w:r>
      <w:r w:rsidR="00812594" w:rsidRPr="001749A1">
        <w:t xml:space="preserve"> de l’emploi entre 2009 et 2010</w:t>
      </w:r>
      <w:r w:rsidR="00E31097" w:rsidRPr="001749A1">
        <w:t>.</w:t>
      </w:r>
    </w:p>
    <w:p w:rsidR="00E31097" w:rsidRPr="001749A1" w:rsidRDefault="00E31097" w:rsidP="00E31097">
      <w:pPr>
        <w:rPr>
          <w:rFonts w:ascii="Arial" w:hAnsi="Arial" w:cs="Arial"/>
          <w:sz w:val="22"/>
          <w:szCs w:val="22"/>
          <w:lang w:val="fr-FR"/>
        </w:rPr>
      </w:pPr>
    </w:p>
    <w:p w:rsidR="00094AEA" w:rsidRPr="001749A1" w:rsidRDefault="006B7B2E" w:rsidP="00CB48D2">
      <w:pPr>
        <w:pStyle w:val="CC"/>
        <w:numPr>
          <w:ilvl w:val="0"/>
          <w:numId w:val="22"/>
        </w:numPr>
      </w:pPr>
      <w:r w:rsidRPr="001749A1">
        <w:t>S’agissant des</w:t>
      </w:r>
      <w:r w:rsidR="00E60DD9" w:rsidRPr="001749A1">
        <w:t xml:space="preserve"> </w:t>
      </w:r>
      <w:r w:rsidR="00094AEA" w:rsidRPr="001749A1">
        <w:rPr>
          <w:b/>
        </w:rPr>
        <w:t xml:space="preserve">perspectives </w:t>
      </w:r>
      <w:r w:rsidRPr="001749A1">
        <w:rPr>
          <w:b/>
        </w:rPr>
        <w:t>pour</w:t>
      </w:r>
      <w:r w:rsidR="00094AEA" w:rsidRPr="001749A1">
        <w:rPr>
          <w:b/>
        </w:rPr>
        <w:t xml:space="preserve"> 2011</w:t>
      </w:r>
      <w:r w:rsidR="00E60DD9" w:rsidRPr="001749A1">
        <w:t xml:space="preserve"> en termes d’emploi</w:t>
      </w:r>
      <w:r w:rsidR="00145752" w:rsidRPr="001749A1">
        <w:t>,</w:t>
      </w:r>
      <w:r w:rsidR="00094AEA" w:rsidRPr="001749A1">
        <w:t xml:space="preserve"> </w:t>
      </w:r>
      <w:r w:rsidR="00145752" w:rsidRPr="001749A1">
        <w:t>l</w:t>
      </w:r>
      <w:r w:rsidR="00094AEA" w:rsidRPr="001749A1">
        <w:t>es attentes diffèrent entre les entrepreneurs du secteur industriel e</w:t>
      </w:r>
      <w:r w:rsidRPr="001749A1">
        <w:t>t ceux du secteur des services</w:t>
      </w:r>
      <w:r w:rsidR="00F86FA5" w:rsidRPr="001749A1">
        <w:t xml:space="preserve">, </w:t>
      </w:r>
      <w:r w:rsidR="00B65E14" w:rsidRPr="001749A1">
        <w:t xml:space="preserve">les premiers restants </w:t>
      </w:r>
      <w:r w:rsidR="00B65E14" w:rsidRPr="001749A1">
        <w:lastRenderedPageBreak/>
        <w:t>plus pessimistes</w:t>
      </w:r>
      <w:r w:rsidRPr="001749A1">
        <w:t>. L</w:t>
      </w:r>
      <w:r w:rsidR="00094AEA" w:rsidRPr="001749A1">
        <w:t>es résultats se doiven</w:t>
      </w:r>
      <w:r w:rsidRPr="001749A1">
        <w:t xml:space="preserve">t d’être </w:t>
      </w:r>
      <w:r w:rsidR="000D7A6B" w:rsidRPr="001749A1">
        <w:t>nuancés</w:t>
      </w:r>
      <w:r w:rsidRPr="001749A1">
        <w:t xml:space="preserve"> en raison </w:t>
      </w:r>
      <w:r w:rsidR="00094AEA" w:rsidRPr="001749A1">
        <w:t xml:space="preserve">de la part importante d’entreprises qui estiment que l’emploi restera stable en 2011 </w:t>
      </w:r>
      <w:r w:rsidRPr="001749A1">
        <w:t>dans les deux secteurs. L</w:t>
      </w:r>
      <w:r w:rsidR="00094AEA" w:rsidRPr="001749A1">
        <w:t>es entreprises semblent avoir des difficultés à cerner les évoluti</w:t>
      </w:r>
      <w:r w:rsidRPr="001749A1">
        <w:t xml:space="preserve">ons futures </w:t>
      </w:r>
      <w:r w:rsidR="00B65E14" w:rsidRPr="001749A1">
        <w:t xml:space="preserve">et </w:t>
      </w:r>
      <w:r w:rsidR="00094AEA" w:rsidRPr="001749A1">
        <w:t>sont moins optimistes pour la fu</w:t>
      </w:r>
      <w:r w:rsidR="00B65E14" w:rsidRPr="001749A1">
        <w:t xml:space="preserve">ture création d’emplois en raison </w:t>
      </w:r>
      <w:r w:rsidR="00094AEA" w:rsidRPr="001749A1">
        <w:t>notamment de l’environnement légal et fiscal qui risque de générer des hausses des coûts des facteurs de production et des charges sociales des entreprises. Ainsi, pour diminuer ces coûts, un moyen à disposition des entreprises est l’ajustement vers le bas des effectifs, ou au mieux, leur stabilité.</w:t>
      </w:r>
    </w:p>
    <w:p w:rsidR="00094AEA" w:rsidRPr="001749A1" w:rsidRDefault="00094AEA" w:rsidP="00094AEA">
      <w:pPr>
        <w:rPr>
          <w:rFonts w:ascii="Arial" w:hAnsi="Arial" w:cs="Arial"/>
          <w:sz w:val="22"/>
          <w:szCs w:val="22"/>
          <w:lang w:val="fr-FR"/>
        </w:rPr>
      </w:pPr>
    </w:p>
    <w:p w:rsidR="002C20FB" w:rsidRPr="001749A1" w:rsidRDefault="00094AEA" w:rsidP="00094AEA">
      <w:pPr>
        <w:pStyle w:val="CC"/>
        <w:numPr>
          <w:ilvl w:val="0"/>
          <w:numId w:val="22"/>
        </w:numPr>
      </w:pPr>
      <w:r w:rsidRPr="001749A1">
        <w:rPr>
          <w:b/>
          <w:i/>
        </w:rPr>
        <w:t>L’analyse sous-sectorielle</w:t>
      </w:r>
      <w:r w:rsidRPr="001749A1">
        <w:t xml:space="preserve"> laisse à nouveau entrevoir un certain pessimisme dans</w:t>
      </w:r>
      <w:r w:rsidR="009A00B5" w:rsidRPr="001749A1">
        <w:t xml:space="preserve"> le secteur de la construction </w:t>
      </w:r>
      <w:r w:rsidR="005B6F66" w:rsidRPr="001749A1">
        <w:t xml:space="preserve">et </w:t>
      </w:r>
      <w:r w:rsidR="00B65E14" w:rsidRPr="001749A1">
        <w:t>dans le secteur financier</w:t>
      </w:r>
      <w:r w:rsidR="009A00B5" w:rsidRPr="001749A1">
        <w:t xml:space="preserve">. Une </w:t>
      </w:r>
      <w:r w:rsidRPr="001749A1">
        <w:t>forte proportion d’entreprises</w:t>
      </w:r>
      <w:r w:rsidR="009A00B5" w:rsidRPr="001749A1">
        <w:t xml:space="preserve"> de ces deux secteurs</w:t>
      </w:r>
      <w:r w:rsidRPr="001749A1">
        <w:t xml:space="preserve"> </w:t>
      </w:r>
      <w:r w:rsidR="009A00B5" w:rsidRPr="001749A1">
        <w:t>prévoit toutefois</w:t>
      </w:r>
      <w:r w:rsidRPr="001749A1">
        <w:t xml:space="preserve"> une stabilité de l’emploi en 2011</w:t>
      </w:r>
      <w:r w:rsidR="009A00B5" w:rsidRPr="001749A1">
        <w:t>.</w:t>
      </w:r>
      <w:r w:rsidR="002C20FB" w:rsidRPr="001749A1">
        <w:t xml:space="preserve"> </w:t>
      </w:r>
    </w:p>
    <w:p w:rsidR="002C20FB" w:rsidRPr="001749A1" w:rsidRDefault="002C20FB" w:rsidP="002C20FB">
      <w:pPr>
        <w:pStyle w:val="CC"/>
        <w:ind w:left="360"/>
        <w:rPr>
          <w:b/>
          <w:i/>
        </w:rPr>
      </w:pPr>
    </w:p>
    <w:p w:rsidR="00375658" w:rsidRPr="001749A1" w:rsidRDefault="00094AEA" w:rsidP="002C20FB">
      <w:pPr>
        <w:pStyle w:val="CC"/>
        <w:ind w:left="360"/>
        <w:rPr>
          <w:lang w:val="fr-LU"/>
        </w:rPr>
      </w:pPr>
      <w:r w:rsidRPr="001749A1">
        <w:rPr>
          <w:rFonts w:cs="Arial"/>
          <w:szCs w:val="22"/>
        </w:rPr>
        <w:t>Les prévisions relatives à l’évolution de l’emploi en 2011 sont variables s</w:t>
      </w:r>
      <w:r w:rsidR="002C20FB" w:rsidRPr="001749A1">
        <w:rPr>
          <w:rFonts w:cs="Arial"/>
          <w:szCs w:val="22"/>
        </w:rPr>
        <w:t xml:space="preserve">elon la </w:t>
      </w:r>
      <w:r w:rsidR="002C20FB" w:rsidRPr="001749A1">
        <w:rPr>
          <w:rFonts w:cs="Arial"/>
          <w:b/>
          <w:i/>
          <w:szCs w:val="22"/>
        </w:rPr>
        <w:t>taille des entreprises</w:t>
      </w:r>
      <w:r w:rsidR="00FC3400" w:rsidRPr="001749A1">
        <w:rPr>
          <w:rFonts w:cs="Arial"/>
          <w:szCs w:val="22"/>
        </w:rPr>
        <w:t>, toutefois</w:t>
      </w:r>
      <w:r w:rsidR="00FC3400" w:rsidRPr="001749A1">
        <w:rPr>
          <w:rFonts w:cs="Arial"/>
          <w:szCs w:val="22"/>
          <w:lang w:val="fr-LU"/>
        </w:rPr>
        <w:t xml:space="preserve"> seule une des balances est négative, et ce pour les grandes entreprises comptant entre 500 et 999 personnes (-11,2 points).</w:t>
      </w:r>
    </w:p>
    <w:p w:rsidR="00FE183D" w:rsidRPr="001749A1" w:rsidRDefault="00FE183D" w:rsidP="00FE183D">
      <w:pPr>
        <w:rPr>
          <w:rFonts w:ascii="Arial" w:hAnsi="Arial" w:cs="Arial"/>
          <w:sz w:val="22"/>
          <w:szCs w:val="22"/>
          <w:lang w:val="fr-FR"/>
        </w:rPr>
      </w:pPr>
    </w:p>
    <w:p w:rsidR="00FE183D" w:rsidRPr="001749A1" w:rsidRDefault="00FE183D" w:rsidP="00FE183D">
      <w:pPr>
        <w:rPr>
          <w:rFonts w:ascii="Arial" w:hAnsi="Arial" w:cs="Arial"/>
          <w:b/>
          <w:sz w:val="22"/>
          <w:szCs w:val="22"/>
          <w:lang w:val="fr-FR"/>
        </w:rPr>
      </w:pPr>
      <w:r w:rsidRPr="001749A1">
        <w:rPr>
          <w:rFonts w:ascii="Arial" w:hAnsi="Arial" w:cs="Arial"/>
          <w:b/>
          <w:sz w:val="22"/>
          <w:szCs w:val="22"/>
          <w:lang w:val="fr-FR"/>
        </w:rPr>
        <w:t xml:space="preserve">4. Investissements : </w:t>
      </w:r>
      <w:r w:rsidR="002710B8">
        <w:rPr>
          <w:rFonts w:ascii="Arial" w:hAnsi="Arial" w:cs="Arial"/>
          <w:b/>
          <w:sz w:val="22"/>
          <w:szCs w:val="22"/>
          <w:lang w:val="fr-FR"/>
        </w:rPr>
        <w:t>une évolution mitigée</w:t>
      </w:r>
    </w:p>
    <w:p w:rsidR="00FE183D" w:rsidRPr="001749A1" w:rsidRDefault="00FE183D" w:rsidP="00FE183D">
      <w:pPr>
        <w:rPr>
          <w:rFonts w:ascii="Arial" w:hAnsi="Arial" w:cs="Arial"/>
          <w:sz w:val="22"/>
          <w:szCs w:val="22"/>
          <w:lang w:val="fr-FR"/>
        </w:rPr>
      </w:pPr>
    </w:p>
    <w:p w:rsidR="00DD2D21" w:rsidRPr="001749A1" w:rsidRDefault="004C2695" w:rsidP="00DD2D21">
      <w:pPr>
        <w:pStyle w:val="CC"/>
        <w:numPr>
          <w:ilvl w:val="0"/>
          <w:numId w:val="24"/>
        </w:numPr>
      </w:pPr>
      <w:r w:rsidRPr="001749A1">
        <w:t xml:space="preserve">Comme les indicateurs de prévisions le laissaient pressentir dans l’enquête EES2010, l’investissement des entreprises a retrouvé le chemin de la croissance </w:t>
      </w:r>
      <w:r w:rsidRPr="001749A1">
        <w:rPr>
          <w:b/>
        </w:rPr>
        <w:t>en 2010</w:t>
      </w:r>
      <w:r w:rsidRPr="001749A1">
        <w:t>.</w:t>
      </w:r>
      <w:r w:rsidR="009E1E44" w:rsidRPr="001749A1">
        <w:t xml:space="preserve"> </w:t>
      </w:r>
      <w:r w:rsidR="00CD13C1" w:rsidRPr="001749A1">
        <w:t>En effet, 2</w:t>
      </w:r>
      <w:r w:rsidRPr="001749A1">
        <w:t>4,4% des entreprises interrogées indiquent que leurs investissements ont augmenté entre 2009 et 2010</w:t>
      </w:r>
      <w:r w:rsidR="00CD13C1" w:rsidRPr="001749A1">
        <w:t xml:space="preserve"> tandis que</w:t>
      </w:r>
      <w:r w:rsidRPr="001749A1">
        <w:t xml:space="preserve"> 20,1% déclarent</w:t>
      </w:r>
      <w:r w:rsidR="009E1E44" w:rsidRPr="001749A1">
        <w:t xml:space="preserve">, dans l’enquête EES2011, </w:t>
      </w:r>
      <w:r w:rsidRPr="001749A1">
        <w:t>une baisse de ceux-ci. Une certaine stabilité est ici encore de mise puisque 55,5% des entreprises affirment que leur niveau d’investissements restera constant en 2010.</w:t>
      </w:r>
      <w:r w:rsidR="00A046A4" w:rsidRPr="001749A1">
        <w:t xml:space="preserve"> La balance des résultats redevient positive pour l’économie totale (4,3 points), en raison des résultats favorables enregistrés dans le secteur des services, à savoir une balance nette de 9,2 points, alors que cette dernière reste négative dans le secteur manufacturier malgré une amélioration </w:t>
      </w:r>
      <w:r w:rsidR="00A046A4" w:rsidRPr="001749A1">
        <w:rPr>
          <w:lang w:val="fr-LU"/>
        </w:rPr>
        <w:t>(-6,1 points).</w:t>
      </w:r>
      <w:r w:rsidR="00A046A4" w:rsidRPr="001749A1">
        <w:t xml:space="preserve"> </w:t>
      </w:r>
    </w:p>
    <w:p w:rsidR="00DD2D21" w:rsidRPr="001749A1" w:rsidRDefault="00DD2D21" w:rsidP="00DD2D21">
      <w:pPr>
        <w:pStyle w:val="CC"/>
        <w:ind w:left="720"/>
      </w:pPr>
    </w:p>
    <w:p w:rsidR="00DD2D21" w:rsidRPr="001749A1" w:rsidRDefault="00DD2D21" w:rsidP="00DD2D21">
      <w:pPr>
        <w:pStyle w:val="CC"/>
        <w:numPr>
          <w:ilvl w:val="0"/>
          <w:numId w:val="24"/>
        </w:numPr>
      </w:pPr>
      <w:r w:rsidRPr="001749A1">
        <w:t xml:space="preserve">Les résultats </w:t>
      </w:r>
      <w:r w:rsidR="00130AAF" w:rsidRPr="001749A1">
        <w:t xml:space="preserve">sont particulièrement </w:t>
      </w:r>
      <w:r w:rsidRPr="001749A1">
        <w:t xml:space="preserve">décevants </w:t>
      </w:r>
      <w:r w:rsidR="00130AAF" w:rsidRPr="001749A1">
        <w:t>dans le</w:t>
      </w:r>
      <w:r w:rsidRPr="001749A1">
        <w:t xml:space="preserve"> secteur de la construction, au sein duquel près de 27% des entreprises interrogées ont connu une baisse des investissements entre 2009 et 2010. S’agissant des services, ce secteur semble faire face à une reprise des investissements, bien que ceux-ci restent plus faibles dans le secteur financier. </w:t>
      </w:r>
    </w:p>
    <w:p w:rsidR="00DD2D21" w:rsidRPr="001749A1" w:rsidRDefault="00DD2D21" w:rsidP="00DD2D21">
      <w:pPr>
        <w:pStyle w:val="CC"/>
        <w:ind w:left="720"/>
      </w:pPr>
    </w:p>
    <w:p w:rsidR="001B037F" w:rsidRPr="001749A1" w:rsidRDefault="00DD2D21" w:rsidP="00F82504">
      <w:pPr>
        <w:pStyle w:val="CC"/>
        <w:ind w:left="360"/>
      </w:pPr>
      <w:r w:rsidRPr="001749A1">
        <w:t xml:space="preserve">Au vu des résultats, la </w:t>
      </w:r>
      <w:r w:rsidRPr="001749A1">
        <w:rPr>
          <w:b/>
          <w:i/>
        </w:rPr>
        <w:t>taille des entreprises</w:t>
      </w:r>
      <w:r w:rsidRPr="001749A1">
        <w:t xml:space="preserve"> joue</w:t>
      </w:r>
      <w:r w:rsidR="00F82504" w:rsidRPr="001749A1">
        <w:t xml:space="preserve"> sans aucun doute un rôle en ce </w:t>
      </w:r>
      <w:r w:rsidRPr="001749A1">
        <w:t xml:space="preserve">qui concerne les investissements réalisés </w:t>
      </w:r>
      <w:r w:rsidR="00DC1560" w:rsidRPr="001749A1">
        <w:t xml:space="preserve">dans les services </w:t>
      </w:r>
      <w:r w:rsidRPr="001749A1">
        <w:t xml:space="preserve">au cours de la période 2009-2010. </w:t>
      </w:r>
      <w:r w:rsidR="00DC1560" w:rsidRPr="001749A1">
        <w:t xml:space="preserve">En effet, </w:t>
      </w:r>
      <w:r w:rsidRPr="001749A1">
        <w:t>plus la taille</w:t>
      </w:r>
      <w:r w:rsidR="00DC1560" w:rsidRPr="001749A1">
        <w:t xml:space="preserve"> des firmes</w:t>
      </w:r>
      <w:r w:rsidRPr="001749A1">
        <w:t xml:space="preserve"> augmente, plus la balance nette indique des résultats favorables (à l’exception de la catégorie 500-999 personnes dont le pourcentage est plus faible que la catégorie précédente, et ce en raison de la part d’entreprises dont les in</w:t>
      </w:r>
      <w:r w:rsidR="00DC1560" w:rsidRPr="001749A1">
        <w:t>vestissements ont été stables).</w:t>
      </w:r>
    </w:p>
    <w:p w:rsidR="007F778D" w:rsidRPr="001749A1" w:rsidRDefault="007F778D" w:rsidP="00F82504">
      <w:pPr>
        <w:pStyle w:val="CC"/>
        <w:ind w:left="426" w:hanging="66"/>
      </w:pPr>
    </w:p>
    <w:p w:rsidR="007F778D" w:rsidRDefault="007F778D" w:rsidP="00693159">
      <w:pPr>
        <w:pStyle w:val="CC"/>
        <w:numPr>
          <w:ilvl w:val="0"/>
          <w:numId w:val="24"/>
        </w:numPr>
      </w:pPr>
      <w:r w:rsidRPr="001749A1">
        <w:t xml:space="preserve">Il ressortait de l’EES2010 que seules 21% des entreprises avaient l’intention d’accroître leurs investissements en 2010. Un an après, elles sont, en proportion, à peine plus à penser pouvoir le faire </w:t>
      </w:r>
      <w:r w:rsidRPr="001749A1">
        <w:rPr>
          <w:b/>
        </w:rPr>
        <w:t>en 2011</w:t>
      </w:r>
      <w:r w:rsidRPr="001749A1">
        <w:t xml:space="preserve"> (22,7%). Dans le secteur manufacturier, un certain pessimisme reste de mise, les perspectives d’évolution en matière d’investissements restant négatives (-3,3 points). Il faut toutefois noter que plus de 60% des entreprises prévoient que leurs investissements resteront stables en 2011. Bien que ce pourcentage soit encore plus important dans les services (63,8%), </w:t>
      </w:r>
      <w:r w:rsidR="00693159" w:rsidRPr="001749A1">
        <w:t xml:space="preserve">la </w:t>
      </w:r>
      <w:r w:rsidRPr="001749A1">
        <w:t xml:space="preserve">balance </w:t>
      </w:r>
      <w:r w:rsidR="00693159" w:rsidRPr="001749A1">
        <w:t xml:space="preserve">est </w:t>
      </w:r>
      <w:r w:rsidRPr="001749A1">
        <w:t xml:space="preserve">à nouveau positive (14,1 points). </w:t>
      </w:r>
      <w:r w:rsidR="00693159" w:rsidRPr="001749A1">
        <w:t>I</w:t>
      </w:r>
      <w:r w:rsidR="00A91C10" w:rsidRPr="001749A1">
        <w:t xml:space="preserve">l subsiste </w:t>
      </w:r>
      <w:r w:rsidR="00693159" w:rsidRPr="001749A1">
        <w:t xml:space="preserve">donc </w:t>
      </w:r>
      <w:r w:rsidR="00A91C10" w:rsidRPr="001749A1">
        <w:t>des incertitudes quant à l’évolution</w:t>
      </w:r>
      <w:r w:rsidR="00A91C10">
        <w:t xml:space="preserve"> des investissements en 2011 et cette prudence traduit la méfiance des entrepreneurs en ce qui concerne la durabilité de la reprise. Suite à la crise économique et financière, la croissance potentielle luxembourgeoise a été durablement touchée et tout investissement capable de renforcer le potentiel de </w:t>
      </w:r>
      <w:r w:rsidR="00A91C10">
        <w:lastRenderedPageBreak/>
        <w:t>croissance endogène est bénéfique à la genèse de nouvelles activités économiques, de nouveaux emplois et de nouvelles bases fiscales.</w:t>
      </w:r>
    </w:p>
    <w:p w:rsidR="007F778D" w:rsidRDefault="007F778D" w:rsidP="007F778D">
      <w:pPr>
        <w:pStyle w:val="CC"/>
        <w:ind w:left="720"/>
      </w:pPr>
    </w:p>
    <w:p w:rsidR="007F778D" w:rsidRDefault="0003290B" w:rsidP="00E15DDE">
      <w:pPr>
        <w:pStyle w:val="CC"/>
        <w:numPr>
          <w:ilvl w:val="0"/>
          <w:numId w:val="26"/>
        </w:numPr>
      </w:pPr>
      <w:r>
        <w:rPr>
          <w:b/>
          <w:i/>
        </w:rPr>
        <w:t>L</w:t>
      </w:r>
      <w:r w:rsidR="007F778D" w:rsidRPr="00E15DDE">
        <w:rPr>
          <w:b/>
          <w:i/>
        </w:rPr>
        <w:t xml:space="preserve">’analyse </w:t>
      </w:r>
      <w:r w:rsidR="0076489A">
        <w:rPr>
          <w:b/>
          <w:i/>
        </w:rPr>
        <w:t>sous-</w:t>
      </w:r>
      <w:r w:rsidR="007F778D" w:rsidRPr="00E15DDE">
        <w:rPr>
          <w:b/>
          <w:i/>
        </w:rPr>
        <w:t>sectorielle</w:t>
      </w:r>
      <w:r w:rsidR="007F778D">
        <w:t xml:space="preserve"> permet de déceler des tendances qui diffèrent entre le secteur de l’industrie et celui des services en ce qui concerne les perspectives pour 2011.</w:t>
      </w:r>
      <w:r w:rsidR="0076489A">
        <w:t xml:space="preserve"> I</w:t>
      </w:r>
      <w:r w:rsidR="007F778D">
        <w:t>l apparaît que les prévisions pour trois des quatre sous-secteurs manufacturiers sont négatives, avec un plus grand pessimis</w:t>
      </w:r>
      <w:r w:rsidR="00E8547B">
        <w:t>me affiché dans la construction</w:t>
      </w:r>
      <w:r w:rsidR="007F778D">
        <w:t>. A l’inverse, les prévisions s’avèrent optimistes dans les services puisque l’ensemble des balances sectorielles sont positives</w:t>
      </w:r>
      <w:r w:rsidR="00E8547B">
        <w:t xml:space="preserve">. </w:t>
      </w:r>
      <w:r w:rsidR="007F778D">
        <w:t xml:space="preserve">Ces tendances et ces indicateurs de confiance ne sont pas sans rappeler les soldes relatifs aux prévisions en matière d’effectifs. </w:t>
      </w:r>
    </w:p>
    <w:p w:rsidR="007F778D" w:rsidRDefault="007F778D" w:rsidP="007F778D">
      <w:pPr>
        <w:pStyle w:val="CC"/>
        <w:ind w:left="720"/>
      </w:pPr>
    </w:p>
    <w:p w:rsidR="007F778D" w:rsidRDefault="007F778D" w:rsidP="00D4413E">
      <w:pPr>
        <w:pStyle w:val="CC"/>
        <w:ind w:left="360"/>
      </w:pPr>
      <w:r>
        <w:t xml:space="preserve">Eu égard à la prise en compte de </w:t>
      </w:r>
      <w:r w:rsidR="00622EC1">
        <w:rPr>
          <w:b/>
          <w:i/>
        </w:rPr>
        <w:t xml:space="preserve">la taille des </w:t>
      </w:r>
      <w:r w:rsidRPr="00E15DDE">
        <w:rPr>
          <w:b/>
          <w:i/>
        </w:rPr>
        <w:t>entreprises</w:t>
      </w:r>
      <w:r>
        <w:t xml:space="preserve">, </w:t>
      </w:r>
      <w:r w:rsidR="00622EC1">
        <w:t xml:space="preserve">l’ensemble des entreprises du </w:t>
      </w:r>
      <w:r>
        <w:t>secteur des services prévoit une améliorati</w:t>
      </w:r>
      <w:r w:rsidR="00622EC1">
        <w:t xml:space="preserve">on des investissements en 2011. </w:t>
      </w:r>
      <w:r w:rsidR="005A1619">
        <w:t>Dans</w:t>
      </w:r>
      <w:r>
        <w:t xml:space="preserve"> le secteur industriel, </w:t>
      </w:r>
      <w:r w:rsidR="005A1619">
        <w:t xml:space="preserve">le </w:t>
      </w:r>
      <w:r>
        <w:t>pourcentage d’entreprises estimant que leurs investissements sero</w:t>
      </w:r>
      <w:r w:rsidR="005A1619">
        <w:t xml:space="preserve">nt en hausse l’année prochaine </w:t>
      </w:r>
      <w:r>
        <w:t xml:space="preserve">augmente avec la taille des entreprises (à l’exception de la </w:t>
      </w:r>
      <w:r w:rsidR="001749A1">
        <w:t>subdivision</w:t>
      </w:r>
      <w:r>
        <w:t xml:space="preserve"> 50-99 employés dont le pourcentage de 25% s’avère élevé par rapport aux autres catégories de taille).  </w:t>
      </w:r>
    </w:p>
    <w:p w:rsidR="007F778D" w:rsidRDefault="007F778D" w:rsidP="007F778D">
      <w:pPr>
        <w:pStyle w:val="CC"/>
        <w:ind w:left="720"/>
      </w:pPr>
    </w:p>
    <w:p w:rsidR="007F778D" w:rsidRDefault="00947717" w:rsidP="00D4413E">
      <w:pPr>
        <w:pStyle w:val="CC"/>
        <w:ind w:left="360"/>
      </w:pPr>
      <w:r>
        <w:t>Les</w:t>
      </w:r>
      <w:r w:rsidR="007F778D">
        <w:t xml:space="preserve"> </w:t>
      </w:r>
      <w:r w:rsidR="007F778D" w:rsidRPr="00947717">
        <w:rPr>
          <w:b/>
          <w:i/>
        </w:rPr>
        <w:t>entreprises qui exportent</w:t>
      </w:r>
      <w:r w:rsidR="007F778D">
        <w:t xml:space="preserve"> s’attendent davantage à une reprise des investissements que celles qui n’interviennent que</w:t>
      </w:r>
      <w:r>
        <w:t xml:space="preserve"> sur le seul marché national. </w:t>
      </w:r>
    </w:p>
    <w:p w:rsidR="00EC10EF" w:rsidRPr="001749A1" w:rsidRDefault="00EC10EF" w:rsidP="00375658">
      <w:pPr>
        <w:rPr>
          <w:rFonts w:ascii="Arial" w:hAnsi="Arial" w:cs="Arial"/>
          <w:sz w:val="22"/>
          <w:szCs w:val="22"/>
          <w:lang w:val="fr-FR"/>
        </w:rPr>
      </w:pPr>
    </w:p>
    <w:p w:rsidR="008A5DF1" w:rsidRPr="001749A1" w:rsidRDefault="002670A1" w:rsidP="008A5DF1">
      <w:pPr>
        <w:tabs>
          <w:tab w:val="left" w:pos="1134"/>
        </w:tabs>
        <w:jc w:val="both"/>
        <w:rPr>
          <w:rFonts w:ascii="Arial" w:hAnsi="Arial" w:cs="Arial"/>
          <w:b/>
          <w:sz w:val="22"/>
          <w:szCs w:val="22"/>
          <w:lang w:val="fr-FR" w:eastAsia="en-GB"/>
        </w:rPr>
      </w:pPr>
      <w:r w:rsidRPr="001749A1">
        <w:rPr>
          <w:rFonts w:ascii="Arial" w:hAnsi="Arial" w:cs="Arial"/>
          <w:b/>
          <w:sz w:val="22"/>
          <w:szCs w:val="22"/>
          <w:lang w:val="fr-FR" w:eastAsia="en-GB"/>
        </w:rPr>
        <w:t>5. Commerce électro</w:t>
      </w:r>
      <w:r w:rsidR="00BC25DF">
        <w:rPr>
          <w:rFonts w:ascii="Arial" w:hAnsi="Arial" w:cs="Arial"/>
          <w:b/>
          <w:sz w:val="22"/>
          <w:szCs w:val="22"/>
          <w:lang w:val="fr-FR" w:eastAsia="en-GB"/>
        </w:rPr>
        <w:t>nique : une évolution favorable et</w:t>
      </w:r>
      <w:r w:rsidRPr="001749A1">
        <w:rPr>
          <w:rFonts w:ascii="Arial" w:hAnsi="Arial" w:cs="Arial"/>
          <w:b/>
          <w:sz w:val="22"/>
          <w:szCs w:val="22"/>
          <w:lang w:val="fr-FR" w:eastAsia="en-GB"/>
        </w:rPr>
        <w:t xml:space="preserve"> des prévisions optimistes</w:t>
      </w:r>
      <w:r w:rsidR="00BC25DF">
        <w:rPr>
          <w:rFonts w:ascii="Arial" w:hAnsi="Arial" w:cs="Arial"/>
          <w:b/>
          <w:sz w:val="22"/>
          <w:szCs w:val="22"/>
          <w:lang w:val="fr-FR" w:eastAsia="en-GB"/>
        </w:rPr>
        <w:t>, mais</w:t>
      </w:r>
      <w:r w:rsidRPr="001749A1">
        <w:rPr>
          <w:rFonts w:ascii="Arial" w:hAnsi="Arial" w:cs="Arial"/>
          <w:b/>
          <w:sz w:val="22"/>
          <w:szCs w:val="22"/>
          <w:lang w:val="fr-FR" w:eastAsia="en-GB"/>
        </w:rPr>
        <w:t xml:space="preserve"> prudentes</w:t>
      </w:r>
    </w:p>
    <w:p w:rsidR="002670A1" w:rsidRPr="001749A1" w:rsidRDefault="002670A1" w:rsidP="008A5DF1">
      <w:pPr>
        <w:tabs>
          <w:tab w:val="left" w:pos="1134"/>
        </w:tabs>
        <w:jc w:val="both"/>
        <w:rPr>
          <w:rFonts w:ascii="Arial" w:hAnsi="Arial" w:cs="Arial"/>
          <w:b/>
          <w:sz w:val="22"/>
          <w:szCs w:val="22"/>
          <w:lang w:val="fr-FR" w:eastAsia="en-GB"/>
        </w:rPr>
      </w:pPr>
    </w:p>
    <w:p w:rsidR="002670A1" w:rsidRPr="001749A1" w:rsidRDefault="002670A1" w:rsidP="002670A1">
      <w:pPr>
        <w:pStyle w:val="ListParagraph"/>
        <w:numPr>
          <w:ilvl w:val="0"/>
          <w:numId w:val="26"/>
        </w:numPr>
        <w:jc w:val="both"/>
        <w:rPr>
          <w:rFonts w:ascii="Arial" w:hAnsi="Arial" w:cs="Arial"/>
          <w:spacing w:val="-2"/>
          <w:sz w:val="22"/>
          <w:szCs w:val="22"/>
          <w:lang w:val="fr-FR" w:eastAsia="en-GB"/>
        </w:rPr>
      </w:pPr>
      <w:r w:rsidRPr="001749A1">
        <w:rPr>
          <w:rFonts w:ascii="Arial" w:hAnsi="Arial" w:cs="Arial"/>
          <w:spacing w:val="-2"/>
          <w:sz w:val="22"/>
          <w:szCs w:val="22"/>
          <w:lang w:val="fr-FR" w:eastAsia="en-GB"/>
        </w:rPr>
        <w:t xml:space="preserve">En choisissant d’insérer une question supplémentaire relative au recours des entreprises luxembourgeoises au commerce électronique pour réaliser leur chiffre d’affaires, la Chambre de Commerce peut ainsi sonder le degré d’utilisation dudit commerce dans le monde des entreprises au Grand-Duché. </w:t>
      </w:r>
    </w:p>
    <w:p w:rsidR="002670A1" w:rsidRPr="001749A1" w:rsidRDefault="002670A1" w:rsidP="002670A1">
      <w:pPr>
        <w:pStyle w:val="ListParagraph"/>
        <w:jc w:val="both"/>
        <w:rPr>
          <w:rFonts w:ascii="Arial" w:hAnsi="Arial" w:cs="Arial"/>
          <w:spacing w:val="-2"/>
          <w:sz w:val="22"/>
          <w:szCs w:val="22"/>
          <w:lang w:val="fr-FR" w:eastAsia="en-GB"/>
        </w:rPr>
      </w:pPr>
    </w:p>
    <w:p w:rsidR="002670A1" w:rsidRPr="001749A1" w:rsidRDefault="002670A1" w:rsidP="002670A1">
      <w:pPr>
        <w:pStyle w:val="CC"/>
        <w:numPr>
          <w:ilvl w:val="0"/>
          <w:numId w:val="26"/>
        </w:numPr>
      </w:pPr>
      <w:r w:rsidRPr="001749A1">
        <w:t xml:space="preserve">Le recours au commerce électronique a légèrement augmenté </w:t>
      </w:r>
      <w:r w:rsidR="00DE1B59" w:rsidRPr="001749A1">
        <w:rPr>
          <w:b/>
        </w:rPr>
        <w:t>en 2010</w:t>
      </w:r>
      <w:r w:rsidR="00DE1B59" w:rsidRPr="001749A1">
        <w:t xml:space="preserve"> </w:t>
      </w:r>
      <w:r w:rsidRPr="001749A1">
        <w:t>puisque 16,1%</w:t>
      </w:r>
      <w:r w:rsidRPr="001749A1">
        <w:rPr>
          <w:lang w:val="fr-LU"/>
        </w:rPr>
        <w:t xml:space="preserve"> des entreprises déclarent réaliser </w:t>
      </w:r>
      <w:r w:rsidRPr="001749A1">
        <w:t xml:space="preserve">un chiffre d’affaires grâce à l’utilisation de ce type de commerce contre 15,7% dans </w:t>
      </w:r>
      <w:r w:rsidR="00F219F3" w:rsidRPr="001749A1">
        <w:t>l’enquête précédente</w:t>
      </w:r>
      <w:r w:rsidRPr="001749A1">
        <w:t xml:space="preserve">. L’augmentation des débouchées internationaux et la reprise du commerce international peuvent expliquer en partie cette croissance. Après une diminution lente et continue depuis plusieurs années de la proportion d’entreprises utilisant le commerce électronique, la tendance semble s’inverser bien qu’il soit trop tôt pour déterminer si cette évolution positive sera de longue durée. </w:t>
      </w:r>
      <w:r w:rsidR="00AD64FF" w:rsidRPr="001749A1">
        <w:t>Les entreprises de services utilisent plus systématiquement ce type de canal économique et commercial (19,1%) comparé à leurs consœurs industrielles (9,7%). De plus, les entreprises de services ont accru leur recours au commerce électronique en 2010, la proportion passant de 18,3% dans l’enquête précédente à 19,1% dans l’EES2011.</w:t>
      </w:r>
    </w:p>
    <w:p w:rsidR="00AD64FF" w:rsidRPr="001749A1" w:rsidRDefault="00AD64FF" w:rsidP="00AD64FF">
      <w:pPr>
        <w:rPr>
          <w:szCs w:val="22"/>
          <w:lang w:val="fr-FR"/>
        </w:rPr>
      </w:pPr>
    </w:p>
    <w:p w:rsidR="003C05EE" w:rsidRPr="001749A1" w:rsidRDefault="00AD64FF" w:rsidP="003C05EE">
      <w:pPr>
        <w:pStyle w:val="CC"/>
        <w:numPr>
          <w:ilvl w:val="0"/>
          <w:numId w:val="26"/>
        </w:numPr>
      </w:pPr>
      <w:r w:rsidRPr="001749A1">
        <w:t xml:space="preserve">Parmi l’ensemble des entreprises, classées selon la </w:t>
      </w:r>
      <w:r w:rsidRPr="001749A1">
        <w:rPr>
          <w:b/>
          <w:i/>
        </w:rPr>
        <w:t>taille de leurs effectifs</w:t>
      </w:r>
      <w:r w:rsidRPr="001749A1">
        <w:t>, ce sont les grandes entreprises qui ont le plus fréquemment recours au commerce électronique puisque 63,7% de firmes de plus de 1.000 employés déclarent l’utiliser</w:t>
      </w:r>
      <w:r w:rsidR="003C05EE" w:rsidRPr="001749A1">
        <w:t>, ce pourcentage</w:t>
      </w:r>
      <w:r w:rsidRPr="001749A1">
        <w:t xml:space="preserve"> </w:t>
      </w:r>
      <w:r w:rsidR="003C05EE" w:rsidRPr="001749A1">
        <w:t xml:space="preserve">ayant  plus que doublé depuis l’enquête précédente au cours de laquelle il s’élevait à 28,8%. </w:t>
      </w:r>
    </w:p>
    <w:p w:rsidR="00AD64FF" w:rsidRPr="001749A1" w:rsidRDefault="00AD64FF" w:rsidP="00AD64FF">
      <w:pPr>
        <w:rPr>
          <w:szCs w:val="22"/>
          <w:lang w:val="fr-FR"/>
        </w:rPr>
      </w:pPr>
    </w:p>
    <w:p w:rsidR="00AD64FF" w:rsidRPr="001749A1" w:rsidRDefault="00AD64FF" w:rsidP="00D4413E">
      <w:pPr>
        <w:pStyle w:val="CC"/>
        <w:ind w:left="360"/>
      </w:pPr>
      <w:r w:rsidRPr="001749A1">
        <w:t xml:space="preserve">Il y a, semble-t-il, une différence assez prononcée entre les </w:t>
      </w:r>
      <w:r w:rsidRPr="001749A1">
        <w:rPr>
          <w:b/>
          <w:i/>
        </w:rPr>
        <w:t>entreprises</w:t>
      </w:r>
      <w:r w:rsidRPr="001749A1">
        <w:rPr>
          <w:b/>
        </w:rPr>
        <w:t xml:space="preserve"> </w:t>
      </w:r>
      <w:r w:rsidRPr="001749A1">
        <w:rPr>
          <w:b/>
          <w:i/>
        </w:rPr>
        <w:t>qui exportent</w:t>
      </w:r>
      <w:r w:rsidRPr="001749A1">
        <w:t xml:space="preserve">, et qui sont 24,3% à avoir recours à internet pour procéder à leurs opérations commerciales, et les entreprises qui n’écoulent pas leurs marchandises sur les marchés étrangers. Ces </w:t>
      </w:r>
      <w:r w:rsidRPr="001749A1">
        <w:lastRenderedPageBreak/>
        <w:t>dernières ne sont en effet que 11,9% à indiquer avoir recours au commerce électronique dans leurs activités.</w:t>
      </w:r>
    </w:p>
    <w:p w:rsidR="007334DA" w:rsidRPr="001749A1" w:rsidRDefault="007334DA" w:rsidP="007334DA">
      <w:pPr>
        <w:rPr>
          <w:szCs w:val="22"/>
          <w:lang w:val="fr-FR"/>
        </w:rPr>
      </w:pPr>
    </w:p>
    <w:p w:rsidR="007334DA" w:rsidRPr="001749A1" w:rsidRDefault="007334DA" w:rsidP="00D4413E">
      <w:pPr>
        <w:pStyle w:val="CC"/>
        <w:numPr>
          <w:ilvl w:val="0"/>
          <w:numId w:val="26"/>
        </w:numPr>
      </w:pPr>
      <w:r w:rsidRPr="001749A1">
        <w:t xml:space="preserve">S’agissant des </w:t>
      </w:r>
      <w:r w:rsidRPr="001749A1">
        <w:rPr>
          <w:b/>
        </w:rPr>
        <w:t>prévisions</w:t>
      </w:r>
      <w:r w:rsidRPr="001749A1">
        <w:t xml:space="preserve">, 57,1% des entreprises s’attendent à ce qu’une partie de leur chiffre d’affaires soit réalisé grâce au commerce électronique </w:t>
      </w:r>
      <w:r w:rsidRPr="001749A1">
        <w:rPr>
          <w:b/>
        </w:rPr>
        <w:t>en 2011</w:t>
      </w:r>
      <w:r w:rsidRPr="001749A1">
        <w:t xml:space="preserve"> tandis que 41,4% d’entre elles estiment que le recours à ce type de commerce restera stable. Seul 1,4% des entreprises prévoient une baisse de son utilisation. </w:t>
      </w:r>
    </w:p>
    <w:p w:rsidR="007334DA" w:rsidRPr="001749A1" w:rsidRDefault="007334DA" w:rsidP="007334DA">
      <w:pPr>
        <w:rPr>
          <w:szCs w:val="22"/>
          <w:lang w:val="fr-FR"/>
        </w:rPr>
      </w:pPr>
    </w:p>
    <w:p w:rsidR="002F7737" w:rsidRPr="001749A1" w:rsidRDefault="002F7737" w:rsidP="00C81718">
      <w:pPr>
        <w:ind w:left="720"/>
        <w:jc w:val="both"/>
        <w:rPr>
          <w:rFonts w:ascii="Arial" w:hAnsi="Arial" w:cs="Arial"/>
          <w:sz w:val="22"/>
          <w:szCs w:val="22"/>
          <w:lang w:val="fr-FR"/>
        </w:rPr>
      </w:pPr>
    </w:p>
    <w:p w:rsidR="00375658" w:rsidRPr="006D2DE9" w:rsidRDefault="006F290A" w:rsidP="00490DDF">
      <w:pPr>
        <w:jc w:val="both"/>
        <w:rPr>
          <w:rFonts w:ascii="Arial" w:hAnsi="Arial" w:cs="Arial"/>
          <w:sz w:val="22"/>
          <w:szCs w:val="22"/>
          <w:lang w:val="fr-FR"/>
        </w:rPr>
      </w:pPr>
      <w:r w:rsidRPr="001749A1">
        <w:rPr>
          <w:rFonts w:ascii="Arial" w:hAnsi="Arial" w:cs="Arial"/>
          <w:b/>
          <w:sz w:val="22"/>
          <w:szCs w:val="22"/>
          <w:u w:val="single"/>
          <w:lang w:val="fr-FR"/>
        </w:rPr>
        <w:br w:type="page"/>
      </w:r>
    </w:p>
    <w:p w:rsidR="00CE53D1" w:rsidRPr="00A80461" w:rsidRDefault="000E67F3" w:rsidP="007B39E9">
      <w:pPr>
        <w:pStyle w:val="CC"/>
        <w:rPr>
          <w:b/>
          <w:u w:val="single"/>
        </w:rPr>
      </w:pPr>
      <w:r w:rsidRPr="00A80461">
        <w:rPr>
          <w:b/>
          <w:u w:val="single"/>
        </w:rPr>
        <w:lastRenderedPageBreak/>
        <w:t>Comparaisons</w:t>
      </w:r>
      <w:r w:rsidR="007B39E9" w:rsidRPr="00A80461">
        <w:rPr>
          <w:b/>
          <w:u w:val="single"/>
        </w:rPr>
        <w:t xml:space="preserve"> </w:t>
      </w:r>
      <w:r w:rsidRPr="00A80461">
        <w:rPr>
          <w:b/>
          <w:u w:val="single"/>
        </w:rPr>
        <w:t>des balances de résultats et de prévisions avec les indicateurs macroéconomiques</w:t>
      </w:r>
    </w:p>
    <w:p w:rsidR="000E67F3" w:rsidRDefault="000E67F3" w:rsidP="00CE53D1">
      <w:pPr>
        <w:rPr>
          <w:lang w:val="fr-FR"/>
        </w:rPr>
      </w:pPr>
    </w:p>
    <w:p w:rsidR="00722125" w:rsidRPr="00961C0C" w:rsidRDefault="00722125" w:rsidP="00CE53D1">
      <w:pPr>
        <w:rPr>
          <w:lang w:val="fr-FR"/>
        </w:rPr>
      </w:pPr>
    </w:p>
    <w:p w:rsidR="00EA2E75" w:rsidRPr="00772BA1" w:rsidRDefault="00EA2E75" w:rsidP="007B1753">
      <w:pPr>
        <w:pStyle w:val="CC"/>
        <w:rPr>
          <w:color w:val="000000"/>
          <w:lang w:eastAsia="en-GB"/>
        </w:rPr>
      </w:pPr>
      <w:r w:rsidRPr="00D13781">
        <w:rPr>
          <w:b/>
          <w:lang w:val="fr-BE"/>
        </w:rPr>
        <w:t>Climat des affaires</w:t>
      </w:r>
      <w:r w:rsidRPr="00961C0C">
        <w:rPr>
          <w:lang w:val="fr-BE"/>
        </w:rPr>
        <w:t> : A</w:t>
      </w:r>
      <w:r w:rsidRPr="00961C0C">
        <w:t>près la chute sans précédent, les entrepre</w:t>
      </w:r>
      <w:r w:rsidR="00DD2390">
        <w:t>neurs font preuve d’un optimisme</w:t>
      </w:r>
      <w:r w:rsidRPr="00961C0C">
        <w:t xml:space="preserve"> prudent, avec pour conséquence des balances</w:t>
      </w:r>
      <w:r w:rsidR="00772BA1">
        <w:t xml:space="preserve"> de résultats</w:t>
      </w:r>
      <w:r w:rsidRPr="00961C0C">
        <w:t xml:space="preserve"> qui restent </w:t>
      </w:r>
      <w:r w:rsidR="006630B9" w:rsidRPr="00961C0C">
        <w:t xml:space="preserve">négatives et </w:t>
      </w:r>
      <w:r w:rsidRPr="00961C0C">
        <w:t>inférieures à celles</w:t>
      </w:r>
      <w:r w:rsidR="006630B9" w:rsidRPr="00961C0C">
        <w:t xml:space="preserve"> prévalant avant la c</w:t>
      </w:r>
      <w:r w:rsidRPr="00961C0C">
        <w:t>rise</w:t>
      </w:r>
      <w:r w:rsidR="00A27CE4">
        <w:t>,</w:t>
      </w:r>
      <w:r w:rsidR="00772BA1">
        <w:t xml:space="preserve"> </w:t>
      </w:r>
      <w:r w:rsidR="00A80461">
        <w:t>ainsi que</w:t>
      </w:r>
      <w:r w:rsidR="00772BA1">
        <w:t xml:space="preserve"> des </w:t>
      </w:r>
      <w:r w:rsidR="00772BA1" w:rsidRPr="00772BA1">
        <w:t xml:space="preserve">prévisions </w:t>
      </w:r>
      <w:r w:rsidR="00772BA1">
        <w:t xml:space="preserve">qui </w:t>
      </w:r>
      <w:r w:rsidR="00772BA1" w:rsidRPr="00772BA1">
        <w:t>restent hésitantes et incertaines</w:t>
      </w:r>
      <w:r w:rsidR="00BC25DF">
        <w:t>.</w:t>
      </w:r>
    </w:p>
    <w:p w:rsidR="00EA2E75" w:rsidRPr="00961C0C" w:rsidRDefault="00EA2E75" w:rsidP="00EA2E75">
      <w:pPr>
        <w:jc w:val="both"/>
        <w:rPr>
          <w:rFonts w:ascii="Arial" w:hAnsi="Arial" w:cs="Arial"/>
          <w:b/>
          <w:bCs/>
          <w:sz w:val="22"/>
          <w:szCs w:val="22"/>
          <w:lang w:val="fr-FR" w:eastAsia="en-GB"/>
        </w:rPr>
      </w:pPr>
    </w:p>
    <w:p w:rsidR="00EA2E75" w:rsidRPr="00961C0C" w:rsidRDefault="00E853D1" w:rsidP="00EA2E75">
      <w:pPr>
        <w:jc w:val="both"/>
        <w:rPr>
          <w:rFonts w:ascii="Arial" w:hAnsi="Arial" w:cs="Arial"/>
          <w:b/>
          <w:bCs/>
          <w:sz w:val="22"/>
          <w:szCs w:val="22"/>
          <w:lang w:val="fr-FR" w:eastAsia="en-GB"/>
        </w:rPr>
      </w:pPr>
      <w:r w:rsidRPr="00E853D1">
        <w:rPr>
          <w:noProof/>
          <w:szCs w:val="22"/>
          <w:lang w:val="fr-BE" w:eastAsia="fr-BE"/>
        </w:rPr>
        <w:drawing>
          <wp:inline distT="0" distB="0" distL="0" distR="0">
            <wp:extent cx="5472000" cy="2773608"/>
            <wp:effectExtent l="1905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472000" cy="2773608"/>
                    </a:xfrm>
                    <a:prstGeom prst="rect">
                      <a:avLst/>
                    </a:prstGeom>
                    <a:noFill/>
                    <a:ln w="9525">
                      <a:noFill/>
                      <a:miter lim="800000"/>
                      <a:headEnd/>
                      <a:tailEnd/>
                    </a:ln>
                  </pic:spPr>
                </pic:pic>
              </a:graphicData>
            </a:graphic>
          </wp:inline>
        </w:drawing>
      </w:r>
    </w:p>
    <w:p w:rsidR="00EA2E75" w:rsidRDefault="00EA2E75" w:rsidP="00EA2E75">
      <w:pPr>
        <w:rPr>
          <w:lang w:val="fr-FR" w:eastAsia="en-GB"/>
        </w:rPr>
      </w:pPr>
    </w:p>
    <w:p w:rsidR="00B53C55" w:rsidRPr="00961C0C" w:rsidRDefault="00B53C55" w:rsidP="00EA2E75">
      <w:pPr>
        <w:rPr>
          <w:lang w:val="fr-FR" w:eastAsia="en-GB"/>
        </w:rPr>
      </w:pPr>
    </w:p>
    <w:p w:rsidR="00722125" w:rsidRDefault="00450163" w:rsidP="007B1753">
      <w:pPr>
        <w:pStyle w:val="CC"/>
      </w:pPr>
      <w:r w:rsidRPr="00D13781">
        <w:rPr>
          <w:b/>
          <w:bCs/>
        </w:rPr>
        <w:t>Chiffre d’affaires total </w:t>
      </w:r>
      <w:r w:rsidRPr="00D13781">
        <w:rPr>
          <w:bCs/>
        </w:rPr>
        <w:t>:</w:t>
      </w:r>
      <w:r w:rsidRPr="00961C0C">
        <w:rPr>
          <w:bCs/>
        </w:rPr>
        <w:t xml:space="preserve"> </w:t>
      </w:r>
      <w:r w:rsidR="00922587" w:rsidRPr="00961C0C">
        <w:t xml:space="preserve">Après une année 2009 exceptionnellement difficile, une reprise est visible en 2010 </w:t>
      </w:r>
      <w:r w:rsidR="007B1753">
        <w:t>et les anticipations</w:t>
      </w:r>
      <w:r w:rsidR="007B1753" w:rsidRPr="007B1753">
        <w:rPr>
          <w:lang w:eastAsia="en-GB"/>
        </w:rPr>
        <w:t xml:space="preserve"> pour 2011 </w:t>
      </w:r>
      <w:r w:rsidR="007B1753">
        <w:t>s’avèrent relativement optimistes.</w:t>
      </w:r>
    </w:p>
    <w:p w:rsidR="00D13781" w:rsidRDefault="00D13781" w:rsidP="007B1753">
      <w:pPr>
        <w:pStyle w:val="CC"/>
      </w:pPr>
    </w:p>
    <w:p w:rsidR="00F30B51" w:rsidRDefault="00F30B51" w:rsidP="00722125">
      <w:pPr>
        <w:rPr>
          <w:lang w:val="fr-FR" w:eastAsia="en-GB"/>
        </w:rPr>
      </w:pPr>
      <w:r w:rsidRPr="00F30B51">
        <w:rPr>
          <w:noProof/>
          <w:lang w:val="fr-BE" w:eastAsia="fr-BE"/>
        </w:rPr>
        <w:drawing>
          <wp:inline distT="0" distB="0" distL="0" distR="0">
            <wp:extent cx="5486400" cy="2971800"/>
            <wp:effectExtent l="1905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486846" cy="2972042"/>
                    </a:xfrm>
                    <a:prstGeom prst="rect">
                      <a:avLst/>
                    </a:prstGeom>
                    <a:noFill/>
                    <a:ln w="9525">
                      <a:noFill/>
                      <a:miter lim="800000"/>
                      <a:headEnd/>
                      <a:tailEnd/>
                    </a:ln>
                  </pic:spPr>
                </pic:pic>
              </a:graphicData>
            </a:graphic>
          </wp:inline>
        </w:drawing>
      </w:r>
    </w:p>
    <w:p w:rsidR="001E016C" w:rsidRDefault="001E016C" w:rsidP="006C266D">
      <w:pPr>
        <w:pStyle w:val="CC"/>
        <w:rPr>
          <w:rFonts w:cs="Arial"/>
          <w:b/>
          <w:bCs/>
          <w:szCs w:val="22"/>
          <w:lang w:eastAsia="en-GB"/>
        </w:rPr>
      </w:pPr>
    </w:p>
    <w:p w:rsidR="001E016C" w:rsidRDefault="001E016C" w:rsidP="006C266D">
      <w:pPr>
        <w:pStyle w:val="CC"/>
        <w:rPr>
          <w:rFonts w:cs="Arial"/>
          <w:b/>
          <w:bCs/>
          <w:szCs w:val="22"/>
          <w:lang w:eastAsia="en-GB"/>
        </w:rPr>
      </w:pPr>
    </w:p>
    <w:p w:rsidR="007B1753" w:rsidRDefault="00450163" w:rsidP="006C266D">
      <w:pPr>
        <w:pStyle w:val="CC"/>
      </w:pPr>
      <w:r w:rsidRPr="00961C0C">
        <w:rPr>
          <w:rFonts w:cs="Arial"/>
          <w:b/>
          <w:bCs/>
          <w:szCs w:val="22"/>
          <w:lang w:eastAsia="en-GB"/>
        </w:rPr>
        <w:t>Emploi </w:t>
      </w:r>
      <w:r w:rsidRPr="00961C0C">
        <w:rPr>
          <w:rFonts w:cs="Arial"/>
          <w:bCs/>
          <w:szCs w:val="22"/>
          <w:lang w:eastAsia="en-GB"/>
        </w:rPr>
        <w:t xml:space="preserve">: </w:t>
      </w:r>
      <w:r w:rsidR="00A80461">
        <w:rPr>
          <w:rFonts w:cs="Arial"/>
          <w:bCs/>
          <w:szCs w:val="22"/>
          <w:lang w:eastAsia="en-GB"/>
        </w:rPr>
        <w:t>P</w:t>
      </w:r>
      <w:r w:rsidR="007B1753">
        <w:rPr>
          <w:rFonts w:cs="Arial"/>
          <w:bCs/>
          <w:szCs w:val="22"/>
          <w:lang w:eastAsia="en-GB"/>
        </w:rPr>
        <w:t xml:space="preserve">eu de dynamisme sur le front de l’emploi </w:t>
      </w:r>
      <w:r w:rsidR="006C266D" w:rsidRPr="00961C0C">
        <w:t>en 2010 par rapport à 2009</w:t>
      </w:r>
      <w:r w:rsidR="007B1753">
        <w:t xml:space="preserve"> et une certaine </w:t>
      </w:r>
      <w:r w:rsidR="001E016C">
        <w:t xml:space="preserve">retenue </w:t>
      </w:r>
      <w:r w:rsidR="007B1753" w:rsidRPr="007B1753">
        <w:t xml:space="preserve">pour 2011 </w:t>
      </w:r>
      <w:r w:rsidR="007B1753">
        <w:t>qui</w:t>
      </w:r>
      <w:r w:rsidR="007B1753" w:rsidRPr="00961C0C">
        <w:t xml:space="preserve"> </w:t>
      </w:r>
      <w:r w:rsidR="001E016C">
        <w:t xml:space="preserve">risque de comporter </w:t>
      </w:r>
      <w:r w:rsidR="007B1753" w:rsidRPr="00961C0C">
        <w:t>des déséquilibres manifestes au niveau de financement du modèle social</w:t>
      </w:r>
      <w:r w:rsidR="00A80461">
        <w:t xml:space="preserve"> et </w:t>
      </w:r>
      <w:r w:rsidR="007B1753" w:rsidRPr="00961C0C">
        <w:t xml:space="preserve">une </w:t>
      </w:r>
      <w:r w:rsidR="001E016C">
        <w:t>poursuite de l’</w:t>
      </w:r>
      <w:r w:rsidR="007B1753" w:rsidRPr="00961C0C">
        <w:t>augmentation du chômage.</w:t>
      </w:r>
      <w:r w:rsidR="007B1753">
        <w:t xml:space="preserve"> </w:t>
      </w:r>
    </w:p>
    <w:p w:rsidR="00656272" w:rsidRPr="00961C0C" w:rsidRDefault="00656272" w:rsidP="006C266D">
      <w:pPr>
        <w:pStyle w:val="CC"/>
      </w:pPr>
    </w:p>
    <w:p w:rsidR="006C266D" w:rsidRPr="00961C0C" w:rsidRDefault="00656272" w:rsidP="00450163">
      <w:pPr>
        <w:jc w:val="both"/>
        <w:rPr>
          <w:rFonts w:ascii="Arial" w:hAnsi="Arial" w:cs="Arial"/>
          <w:b/>
          <w:bCs/>
          <w:sz w:val="22"/>
          <w:szCs w:val="22"/>
          <w:lang w:val="fr-FR" w:eastAsia="en-GB"/>
        </w:rPr>
      </w:pPr>
      <w:r w:rsidRPr="00656272">
        <w:rPr>
          <w:noProof/>
          <w:szCs w:val="22"/>
          <w:lang w:val="fr-BE" w:eastAsia="fr-BE"/>
        </w:rPr>
        <w:drawing>
          <wp:inline distT="0" distB="0" distL="0" distR="0">
            <wp:extent cx="5478995" cy="2800350"/>
            <wp:effectExtent l="19050" t="0" r="7405"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486400" cy="2804135"/>
                    </a:xfrm>
                    <a:prstGeom prst="rect">
                      <a:avLst/>
                    </a:prstGeom>
                    <a:noFill/>
                    <a:ln w="9525">
                      <a:noFill/>
                      <a:miter lim="800000"/>
                      <a:headEnd/>
                      <a:tailEnd/>
                    </a:ln>
                  </pic:spPr>
                </pic:pic>
              </a:graphicData>
            </a:graphic>
          </wp:inline>
        </w:drawing>
      </w:r>
    </w:p>
    <w:p w:rsidR="00CE53D1" w:rsidRDefault="00CE53D1" w:rsidP="00381F0B">
      <w:pPr>
        <w:rPr>
          <w:lang w:val="fr-FR" w:eastAsia="en-GB"/>
        </w:rPr>
      </w:pPr>
    </w:p>
    <w:p w:rsidR="00D04DDA" w:rsidRPr="00961C0C" w:rsidRDefault="00D04DDA" w:rsidP="00381F0B">
      <w:pPr>
        <w:rPr>
          <w:lang w:val="fr-FR" w:eastAsia="en-GB"/>
        </w:rPr>
      </w:pPr>
    </w:p>
    <w:p w:rsidR="00DA73B4" w:rsidRPr="00D04DDA" w:rsidRDefault="00450163" w:rsidP="00D04DDA">
      <w:pPr>
        <w:jc w:val="both"/>
        <w:rPr>
          <w:rFonts w:ascii="Arial" w:hAnsi="Arial" w:cs="Arial"/>
          <w:sz w:val="22"/>
          <w:szCs w:val="22"/>
          <w:lang w:val="fr-FR"/>
        </w:rPr>
      </w:pPr>
      <w:r w:rsidRPr="00961C0C">
        <w:rPr>
          <w:rFonts w:ascii="Arial" w:hAnsi="Arial" w:cs="Arial"/>
          <w:b/>
          <w:bCs/>
          <w:sz w:val="22"/>
          <w:szCs w:val="22"/>
          <w:lang w:val="fr-FR" w:eastAsia="en-GB"/>
        </w:rPr>
        <w:t xml:space="preserve">Investissements : </w:t>
      </w:r>
      <w:r w:rsidR="007B1753">
        <w:rPr>
          <w:rFonts w:ascii="Arial" w:hAnsi="Arial" w:cs="Arial"/>
          <w:bCs/>
          <w:sz w:val="22"/>
          <w:szCs w:val="22"/>
          <w:lang w:val="fr-FR" w:eastAsia="en-GB"/>
        </w:rPr>
        <w:t>Les</w:t>
      </w:r>
      <w:r w:rsidR="007B1753" w:rsidRPr="007B1753">
        <w:rPr>
          <w:rFonts w:ascii="Arial" w:hAnsi="Arial" w:cs="Arial"/>
          <w:bCs/>
          <w:sz w:val="22"/>
          <w:szCs w:val="22"/>
          <w:lang w:val="fr-FR" w:eastAsia="en-GB"/>
        </w:rPr>
        <w:t xml:space="preserve"> investissements dans les entreprises ont retrouvé le </w:t>
      </w:r>
      <w:r w:rsidR="007B1753">
        <w:rPr>
          <w:rFonts w:ascii="Arial" w:hAnsi="Arial" w:cs="Arial"/>
          <w:bCs/>
          <w:sz w:val="22"/>
          <w:szCs w:val="22"/>
          <w:lang w:val="fr-FR" w:eastAsia="en-GB"/>
        </w:rPr>
        <w:t xml:space="preserve">chemin de la croissance en 2010 mais les prévisions pour </w:t>
      </w:r>
      <w:r w:rsidR="007B1753" w:rsidRPr="007B1753">
        <w:rPr>
          <w:rFonts w:ascii="Arial" w:hAnsi="Arial" w:cs="Arial"/>
          <w:bCs/>
          <w:sz w:val="22"/>
          <w:szCs w:val="22"/>
          <w:lang w:val="fr-FR" w:eastAsia="en-GB"/>
        </w:rPr>
        <w:t xml:space="preserve">2011 sont toutefois </w:t>
      </w:r>
      <w:r w:rsidR="001E232B">
        <w:rPr>
          <w:rFonts w:ascii="Arial" w:hAnsi="Arial" w:cs="Arial"/>
          <w:bCs/>
          <w:sz w:val="22"/>
          <w:szCs w:val="22"/>
          <w:lang w:val="fr-FR" w:eastAsia="en-GB"/>
        </w:rPr>
        <w:t>emprei</w:t>
      </w:r>
      <w:r w:rsidR="007B1753">
        <w:rPr>
          <w:rFonts w:ascii="Arial" w:hAnsi="Arial" w:cs="Arial"/>
          <w:bCs/>
          <w:sz w:val="22"/>
          <w:szCs w:val="22"/>
          <w:lang w:val="fr-FR" w:eastAsia="en-GB"/>
        </w:rPr>
        <w:t>ntes</w:t>
      </w:r>
      <w:r w:rsidR="007B1753" w:rsidRPr="007B1753">
        <w:rPr>
          <w:rFonts w:ascii="Arial" w:hAnsi="Arial" w:cs="Arial"/>
          <w:bCs/>
          <w:sz w:val="22"/>
          <w:szCs w:val="22"/>
          <w:lang w:val="fr-FR" w:eastAsia="en-GB"/>
        </w:rPr>
        <w:t xml:space="preserve"> d’une grande réserve, alors que le soutien anticyclique aux entreprises locales à travers l’investissement public a été moins prononcé qu’initialement annoncé par le Gouvernement.</w:t>
      </w:r>
      <w:r w:rsidR="007B1753" w:rsidRPr="007B1753">
        <w:rPr>
          <w:rFonts w:ascii="Arial" w:hAnsi="Arial" w:cs="Arial"/>
          <w:b/>
          <w:bCs/>
          <w:sz w:val="22"/>
          <w:szCs w:val="22"/>
          <w:lang w:val="fr-FR" w:eastAsia="en-GB"/>
        </w:rPr>
        <w:t xml:space="preserve"> </w:t>
      </w:r>
    </w:p>
    <w:p w:rsidR="00EA55C8" w:rsidRPr="00961C0C" w:rsidRDefault="00EA55C8" w:rsidP="00EA55C8">
      <w:pPr>
        <w:rPr>
          <w:rFonts w:ascii="Arial" w:hAnsi="Arial" w:cs="Arial"/>
          <w:sz w:val="22"/>
          <w:szCs w:val="22"/>
          <w:lang w:val="fr-FR"/>
        </w:rPr>
      </w:pPr>
    </w:p>
    <w:p w:rsidR="00562835" w:rsidRPr="00961C0C" w:rsidRDefault="00D04DDA" w:rsidP="00562835">
      <w:pPr>
        <w:rPr>
          <w:szCs w:val="22"/>
        </w:rPr>
      </w:pPr>
      <w:r w:rsidRPr="00D04DDA">
        <w:rPr>
          <w:noProof/>
          <w:szCs w:val="22"/>
          <w:lang w:val="fr-BE" w:eastAsia="fr-BE"/>
        </w:rPr>
        <w:drawing>
          <wp:inline distT="0" distB="0" distL="0" distR="0">
            <wp:extent cx="5486400" cy="2952750"/>
            <wp:effectExtent l="19050" t="0" r="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486400" cy="2952750"/>
                    </a:xfrm>
                    <a:prstGeom prst="rect">
                      <a:avLst/>
                    </a:prstGeom>
                    <a:noFill/>
                    <a:ln w="9525">
                      <a:noFill/>
                      <a:miter lim="800000"/>
                      <a:headEnd/>
                      <a:tailEnd/>
                    </a:ln>
                  </pic:spPr>
                </pic:pic>
              </a:graphicData>
            </a:graphic>
          </wp:inline>
        </w:drawing>
      </w:r>
    </w:p>
    <w:p w:rsidR="00562835" w:rsidRPr="00961C0C" w:rsidRDefault="00562835" w:rsidP="00562835">
      <w:pPr>
        <w:rPr>
          <w:szCs w:val="22"/>
        </w:rPr>
      </w:pPr>
    </w:p>
    <w:p w:rsidR="007B39E9" w:rsidRPr="00961C0C" w:rsidRDefault="007B39E9" w:rsidP="007B39E9">
      <w:pPr>
        <w:pStyle w:val="CC"/>
        <w:rPr>
          <w:b/>
          <w:u w:val="single"/>
        </w:rPr>
      </w:pPr>
    </w:p>
    <w:p w:rsidR="004C3BD7" w:rsidRPr="00961C0C" w:rsidRDefault="00772BA1" w:rsidP="00FC2BAF">
      <w:pPr>
        <w:pStyle w:val="CC"/>
      </w:pPr>
      <w:r w:rsidRPr="00CE533E">
        <w:lastRenderedPageBreak/>
        <w:t xml:space="preserve">En résumé, </w:t>
      </w:r>
      <w:r w:rsidR="00922787" w:rsidRPr="00CE533E">
        <w:t xml:space="preserve">les prévisions </w:t>
      </w:r>
      <w:r w:rsidR="009855CF">
        <w:t>pour 2011 en ce qui concerne le</w:t>
      </w:r>
      <w:r w:rsidR="00922787" w:rsidRPr="00CE533E">
        <w:t xml:space="preserve"> </w:t>
      </w:r>
      <w:r w:rsidR="00922787" w:rsidRPr="00CE533E">
        <w:rPr>
          <w:b/>
        </w:rPr>
        <w:t>chiffre d’affaires</w:t>
      </w:r>
      <w:r w:rsidR="00922787" w:rsidRPr="00CE533E">
        <w:t xml:space="preserve"> sont relativement optimistes au vu du nombre d’indicateur</w:t>
      </w:r>
      <w:r w:rsidR="009855CF">
        <w:t>s</w:t>
      </w:r>
      <w:r w:rsidR="00922787" w:rsidRPr="00CE533E">
        <w:t xml:space="preserve"> en vert dans le tableau </w:t>
      </w:r>
      <w:r w:rsidR="00CE533E">
        <w:t>2</w:t>
      </w:r>
      <w:r w:rsidR="00CE533E" w:rsidRPr="00CE533E">
        <w:rPr>
          <w:rFonts w:cs="Arial"/>
          <w:szCs w:val="22"/>
        </w:rPr>
        <w:t>. L</w:t>
      </w:r>
      <w:r w:rsidR="00922787" w:rsidRPr="00CE533E">
        <w:rPr>
          <w:rFonts w:cs="Arial"/>
          <w:szCs w:val="22"/>
        </w:rPr>
        <w:t>a progression rapide des coûts des facteurs de production affecte</w:t>
      </w:r>
      <w:r w:rsidR="00CE533E" w:rsidRPr="00CE533E">
        <w:rPr>
          <w:rFonts w:cs="Arial"/>
          <w:szCs w:val="22"/>
        </w:rPr>
        <w:t xml:space="preserve"> toutefois</w:t>
      </w:r>
      <w:r w:rsidR="00922787" w:rsidRPr="00CE533E">
        <w:rPr>
          <w:rFonts w:cs="Arial"/>
          <w:szCs w:val="22"/>
        </w:rPr>
        <w:t xml:space="preserve"> la confiance des entreprises en l’avenir.</w:t>
      </w:r>
      <w:r w:rsidR="00CE533E" w:rsidRPr="00CE533E">
        <w:rPr>
          <w:rFonts w:cs="Arial"/>
          <w:szCs w:val="22"/>
        </w:rPr>
        <w:t xml:space="preserve"> Les anticipations assez pessimistes en termes de </w:t>
      </w:r>
      <w:r w:rsidR="00CE533E" w:rsidRPr="00CE533E">
        <w:rPr>
          <w:rFonts w:cs="Arial"/>
          <w:b/>
          <w:szCs w:val="22"/>
        </w:rPr>
        <w:t>climat des affaires</w:t>
      </w:r>
      <w:r w:rsidR="00CE533E" w:rsidRPr="009855CF">
        <w:rPr>
          <w:rFonts w:cs="Arial"/>
          <w:szCs w:val="22"/>
        </w:rPr>
        <w:t>,</w:t>
      </w:r>
      <w:r w:rsidR="00CE533E">
        <w:rPr>
          <w:rFonts w:cs="Arial"/>
          <w:b/>
          <w:szCs w:val="22"/>
        </w:rPr>
        <w:t xml:space="preserve"> </w:t>
      </w:r>
      <w:r w:rsidR="00CE533E" w:rsidRPr="009855CF">
        <w:rPr>
          <w:rFonts w:cs="Arial"/>
          <w:szCs w:val="22"/>
        </w:rPr>
        <w:t xml:space="preserve">et dans une moindre mesure en termes </w:t>
      </w:r>
      <w:r w:rsidR="00CE533E" w:rsidRPr="009855CF">
        <w:rPr>
          <w:rFonts w:cs="Arial"/>
          <w:b/>
          <w:szCs w:val="22"/>
        </w:rPr>
        <w:t>d’emploi</w:t>
      </w:r>
      <w:r w:rsidR="009855CF">
        <w:rPr>
          <w:rFonts w:cs="Arial"/>
          <w:b/>
          <w:szCs w:val="22"/>
        </w:rPr>
        <w:t>,</w:t>
      </w:r>
      <w:r w:rsidR="00CE533E" w:rsidRPr="00CE533E">
        <w:rPr>
          <w:rFonts w:cs="Arial"/>
          <w:szCs w:val="22"/>
        </w:rPr>
        <w:t xml:space="preserve"> </w:t>
      </w:r>
      <w:r w:rsidR="007B1753" w:rsidRPr="00CE533E">
        <w:t>tradui</w:t>
      </w:r>
      <w:r w:rsidR="00CC3863">
        <w:t>sen</w:t>
      </w:r>
      <w:r w:rsidR="007B1753" w:rsidRPr="00CE533E">
        <w:t>t la méfiance des entrepreneurs en ce qui concerne l’ampleur et la durabilité de la reprise et met</w:t>
      </w:r>
      <w:r w:rsidR="00CC3863">
        <w:t>tent</w:t>
      </w:r>
      <w:r w:rsidR="007B1753" w:rsidRPr="00CE533E">
        <w:t xml:space="preserve"> en évidence leurs craintes quant à l’évolution des coûts du facteur de production « travail » et quant à leur capacité de mettre en œuvre leur stratégie de développement avec des automatismes réglementaires et des hausses des coûts salariaux plus marquée que l’évolution de la productivité.</w:t>
      </w:r>
      <w:r w:rsidR="00CE533E">
        <w:t xml:space="preserve"> </w:t>
      </w:r>
      <w:r w:rsidR="00FC2BAF" w:rsidRPr="00961C0C">
        <w:t xml:space="preserve">Les </w:t>
      </w:r>
      <w:r w:rsidR="00FC2BAF" w:rsidRPr="009855CF">
        <w:rPr>
          <w:b/>
        </w:rPr>
        <w:t>investissements</w:t>
      </w:r>
      <w:r w:rsidR="00FC2BAF" w:rsidRPr="00961C0C">
        <w:t xml:space="preserve"> pour 2011 sont</w:t>
      </w:r>
      <w:r w:rsidR="009855CF">
        <w:t>,</w:t>
      </w:r>
      <w:r w:rsidR="00FC2BAF" w:rsidRPr="00961C0C">
        <w:t xml:space="preserve"> </w:t>
      </w:r>
      <w:r w:rsidR="001E232B">
        <w:t>par conséquent, réservés</w:t>
      </w:r>
      <w:r w:rsidR="009855CF">
        <w:t>,</w:t>
      </w:r>
      <w:r w:rsidR="00FC2BAF" w:rsidRPr="00961C0C">
        <w:t xml:space="preserve"> or </w:t>
      </w:r>
      <w:r w:rsidR="00A808C7" w:rsidRPr="00961C0C">
        <w:t>ce sont les investissements privés d’une période donnée qui ont un effet d’entraînement sur le niveau d’activité de la période suivante et qui conditionnent le niveau d’emploi de l’avenir.</w:t>
      </w:r>
    </w:p>
    <w:p w:rsidR="004C3BD7" w:rsidRDefault="004C3BD7" w:rsidP="00562835">
      <w:pPr>
        <w:rPr>
          <w:rFonts w:ascii="Arial" w:hAnsi="Arial" w:cs="Arial"/>
          <w:sz w:val="22"/>
          <w:szCs w:val="22"/>
          <w:lang w:val="fr-FR"/>
        </w:rPr>
      </w:pPr>
    </w:p>
    <w:p w:rsidR="00CE533E" w:rsidRPr="00E732CB" w:rsidRDefault="00CE533E" w:rsidP="00562835">
      <w:pPr>
        <w:rPr>
          <w:rFonts w:ascii="Arial" w:hAnsi="Arial" w:cs="Arial"/>
          <w:b/>
          <w:sz w:val="22"/>
          <w:szCs w:val="22"/>
          <w:lang w:val="fr-FR"/>
        </w:rPr>
      </w:pPr>
      <w:r w:rsidRPr="00E732CB">
        <w:rPr>
          <w:rFonts w:ascii="Arial" w:hAnsi="Arial" w:cs="Arial"/>
          <w:b/>
          <w:sz w:val="22"/>
          <w:szCs w:val="22"/>
          <w:lang w:val="fr-FR"/>
        </w:rPr>
        <w:t>Tableau 2 : Perspectives pour 2011</w:t>
      </w:r>
    </w:p>
    <w:p w:rsidR="00562835" w:rsidRPr="00CE533E" w:rsidRDefault="00562835" w:rsidP="00562835">
      <w:pPr>
        <w:rPr>
          <w:szCs w:val="22"/>
          <w:lang w:val="fr-FR"/>
        </w:rPr>
      </w:pPr>
    </w:p>
    <w:p w:rsidR="006D38BF" w:rsidRPr="00961C0C" w:rsidRDefault="006D2DE9" w:rsidP="006D38BF">
      <w:pPr>
        <w:pStyle w:val="CDCnormal"/>
        <w:rPr>
          <w:sz w:val="20"/>
          <w:szCs w:val="20"/>
        </w:rPr>
      </w:pPr>
      <w:r w:rsidRPr="00961C0C">
        <w:rPr>
          <w:noProof/>
          <w:lang w:val="fr-BE" w:eastAsia="fr-BE"/>
        </w:rPr>
        <w:drawing>
          <wp:inline distT="0" distB="0" distL="0" distR="0">
            <wp:extent cx="5982127" cy="2790825"/>
            <wp:effectExtent l="19050" t="0" r="0"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982127" cy="2790825"/>
                    </a:xfrm>
                    <a:prstGeom prst="rect">
                      <a:avLst/>
                    </a:prstGeom>
                    <a:noFill/>
                    <a:ln w="9525">
                      <a:noFill/>
                      <a:miter lim="800000"/>
                      <a:headEnd/>
                      <a:tailEnd/>
                    </a:ln>
                  </pic:spPr>
                </pic:pic>
              </a:graphicData>
            </a:graphic>
          </wp:inline>
        </w:drawing>
      </w:r>
      <w:r w:rsidR="006D38BF" w:rsidRPr="00961C0C">
        <w:rPr>
          <w:sz w:val="20"/>
          <w:szCs w:val="20"/>
        </w:rPr>
        <w:t>Remarque :</w:t>
      </w:r>
      <w:r w:rsidR="00CC3863">
        <w:rPr>
          <w:sz w:val="20"/>
          <w:szCs w:val="20"/>
        </w:rPr>
        <w:t xml:space="preserve"> L’indicateur est en rouge lors</w:t>
      </w:r>
      <w:r w:rsidR="006D38BF" w:rsidRPr="00961C0C">
        <w:rPr>
          <w:sz w:val="20"/>
          <w:szCs w:val="20"/>
        </w:rPr>
        <w:t>que la balance est négative ; en orange lorsque la balance se situe entre 0 et 20 points et en vert lorsque la balance est supérieure à 20 points.</w:t>
      </w:r>
    </w:p>
    <w:p w:rsidR="00562835" w:rsidRDefault="00562835">
      <w:pPr>
        <w:rPr>
          <w:szCs w:val="22"/>
          <w:lang w:val="fr-BE"/>
        </w:rPr>
      </w:pPr>
    </w:p>
    <w:p w:rsidR="00CC3863" w:rsidRPr="00961C0C" w:rsidRDefault="00CC3863">
      <w:pPr>
        <w:rPr>
          <w:szCs w:val="22"/>
          <w:lang w:val="fr-BE"/>
        </w:rPr>
      </w:pPr>
    </w:p>
    <w:p w:rsidR="00562835" w:rsidRPr="00961C0C" w:rsidRDefault="00562835" w:rsidP="00562835">
      <w:pPr>
        <w:pStyle w:val="BodyText"/>
        <w:pBdr>
          <w:top w:val="single" w:sz="4" w:space="1" w:color="auto"/>
          <w:left w:val="single" w:sz="4" w:space="4" w:color="auto"/>
          <w:bottom w:val="single" w:sz="4" w:space="1" w:color="auto"/>
          <w:right w:val="single" w:sz="4" w:space="4" w:color="auto"/>
        </w:pBdr>
        <w:spacing w:after="0"/>
        <w:jc w:val="both"/>
        <w:rPr>
          <w:rFonts w:ascii="Arial" w:hAnsi="Arial" w:cs="Arial"/>
          <w:sz w:val="22"/>
          <w:szCs w:val="22"/>
          <w:lang w:val="fr-FR"/>
        </w:rPr>
      </w:pPr>
    </w:p>
    <w:p w:rsidR="00562835" w:rsidRPr="00961C0C" w:rsidRDefault="00562835" w:rsidP="00562835">
      <w:pPr>
        <w:pStyle w:val="BodyText"/>
        <w:pBdr>
          <w:top w:val="single" w:sz="4" w:space="1" w:color="auto"/>
          <w:left w:val="single" w:sz="4" w:space="4" w:color="auto"/>
          <w:bottom w:val="single" w:sz="4" w:space="1" w:color="auto"/>
          <w:right w:val="single" w:sz="4" w:space="4" w:color="auto"/>
        </w:pBdr>
        <w:spacing w:after="0"/>
        <w:jc w:val="both"/>
        <w:rPr>
          <w:rFonts w:ascii="Arial" w:hAnsi="Arial" w:cs="Arial"/>
          <w:sz w:val="22"/>
          <w:szCs w:val="22"/>
          <w:lang w:val="fr-FR"/>
        </w:rPr>
      </w:pPr>
      <w:r w:rsidRPr="00961C0C">
        <w:rPr>
          <w:rFonts w:ascii="Arial" w:hAnsi="Arial" w:cs="Arial"/>
          <w:sz w:val="22"/>
          <w:szCs w:val="22"/>
          <w:lang w:val="fr-FR"/>
        </w:rPr>
        <w:t xml:space="preserve">Les personnes souhaitant davantage de renseignements peuvent s’adresser au Département Economique de la Chambre de Commerce (tél. : 42 39 </w:t>
      </w:r>
      <w:proofErr w:type="spellStart"/>
      <w:r w:rsidRPr="00961C0C">
        <w:rPr>
          <w:rFonts w:ascii="Arial" w:hAnsi="Arial" w:cs="Arial"/>
          <w:sz w:val="22"/>
          <w:szCs w:val="22"/>
          <w:lang w:val="fr-FR"/>
        </w:rPr>
        <w:t>39</w:t>
      </w:r>
      <w:proofErr w:type="spellEnd"/>
      <w:r w:rsidRPr="00961C0C">
        <w:rPr>
          <w:rFonts w:ascii="Arial" w:hAnsi="Arial" w:cs="Arial"/>
          <w:sz w:val="22"/>
          <w:szCs w:val="22"/>
          <w:lang w:val="fr-FR"/>
        </w:rPr>
        <w:t xml:space="preserve"> – 358, e-mail : </w:t>
      </w:r>
      <w:hyperlink r:id="rId15" w:history="1">
        <w:r w:rsidRPr="00961C0C">
          <w:rPr>
            <w:rStyle w:val="Hyperlink"/>
            <w:rFonts w:ascii="Arial" w:hAnsi="Arial" w:cs="Arial"/>
            <w:color w:val="auto"/>
            <w:sz w:val="22"/>
            <w:szCs w:val="22"/>
            <w:lang w:val="fr-FR"/>
          </w:rPr>
          <w:t>eco@cc.lu</w:t>
        </w:r>
      </w:hyperlink>
      <w:r w:rsidRPr="00961C0C">
        <w:rPr>
          <w:rFonts w:ascii="Arial" w:hAnsi="Arial" w:cs="Arial"/>
          <w:sz w:val="22"/>
          <w:szCs w:val="22"/>
          <w:lang w:val="fr-FR"/>
        </w:rPr>
        <w:t xml:space="preserve"> ). Le dossier du Merkur 10-2010 présentant les principaux résultats de l’EES2011 peut être consulté sur le site de la Chambre de Commerce (</w:t>
      </w:r>
      <w:hyperlink r:id="rId16" w:history="1">
        <w:r w:rsidRPr="00961C0C">
          <w:rPr>
            <w:rStyle w:val="Hyperlink"/>
            <w:rFonts w:ascii="Arial" w:hAnsi="Arial" w:cs="Arial"/>
            <w:color w:val="auto"/>
            <w:sz w:val="22"/>
            <w:szCs w:val="22"/>
            <w:lang w:val="fr-FR"/>
          </w:rPr>
          <w:t>www.cc.lu</w:t>
        </w:r>
      </w:hyperlink>
      <w:r w:rsidRPr="00961C0C">
        <w:rPr>
          <w:rFonts w:ascii="Arial" w:hAnsi="Arial" w:cs="Arial"/>
          <w:sz w:val="22"/>
          <w:szCs w:val="22"/>
          <w:lang w:val="fr-FR"/>
        </w:rPr>
        <w:t>). Le rapport complet, reprenant les comparaisons européennes, peut être consulté sur le site d’</w:t>
      </w:r>
      <w:proofErr w:type="spellStart"/>
      <w:r w:rsidRPr="00961C0C">
        <w:rPr>
          <w:rFonts w:ascii="Arial" w:hAnsi="Arial" w:cs="Arial"/>
          <w:sz w:val="22"/>
          <w:szCs w:val="22"/>
          <w:lang w:val="fr-FR"/>
        </w:rPr>
        <w:t>Eurochambres</w:t>
      </w:r>
      <w:proofErr w:type="spellEnd"/>
      <w:r w:rsidRPr="00961C0C">
        <w:rPr>
          <w:rFonts w:ascii="Arial" w:hAnsi="Arial" w:cs="Arial"/>
          <w:sz w:val="22"/>
          <w:szCs w:val="22"/>
          <w:lang w:val="fr-FR"/>
        </w:rPr>
        <w:t xml:space="preserve"> (</w:t>
      </w:r>
      <w:hyperlink r:id="rId17" w:history="1">
        <w:r w:rsidRPr="00961C0C">
          <w:rPr>
            <w:rStyle w:val="Hyperlink"/>
            <w:rFonts w:ascii="Arial" w:hAnsi="Arial" w:cs="Arial"/>
            <w:color w:val="auto"/>
            <w:sz w:val="22"/>
            <w:szCs w:val="22"/>
            <w:lang w:val="fr-FR"/>
          </w:rPr>
          <w:t>www.eurochambres.eu</w:t>
        </w:r>
      </w:hyperlink>
      <w:r w:rsidRPr="00961C0C">
        <w:rPr>
          <w:rFonts w:ascii="Arial" w:hAnsi="Arial" w:cs="Arial"/>
          <w:sz w:val="22"/>
          <w:szCs w:val="22"/>
          <w:lang w:val="fr-FR"/>
        </w:rPr>
        <w:t xml:space="preserve">). </w:t>
      </w:r>
    </w:p>
    <w:p w:rsidR="00562835" w:rsidRPr="00961C0C" w:rsidRDefault="00562835" w:rsidP="00562835">
      <w:pPr>
        <w:pStyle w:val="BodyText"/>
        <w:pBdr>
          <w:top w:val="single" w:sz="4" w:space="1" w:color="auto"/>
          <w:left w:val="single" w:sz="4" w:space="4" w:color="auto"/>
          <w:bottom w:val="single" w:sz="4" w:space="1" w:color="auto"/>
          <w:right w:val="single" w:sz="4" w:space="4" w:color="auto"/>
        </w:pBdr>
        <w:spacing w:after="0"/>
        <w:jc w:val="both"/>
        <w:rPr>
          <w:rFonts w:ascii="Arial" w:hAnsi="Arial" w:cs="Arial"/>
          <w:sz w:val="22"/>
          <w:szCs w:val="22"/>
          <w:lang w:val="fr-FR"/>
        </w:rPr>
      </w:pPr>
    </w:p>
    <w:p w:rsidR="00EA55C8" w:rsidRPr="00961C0C" w:rsidRDefault="00EA55C8" w:rsidP="00562835">
      <w:pPr>
        <w:rPr>
          <w:szCs w:val="22"/>
          <w:lang w:val="fr-FR"/>
        </w:rPr>
      </w:pPr>
    </w:p>
    <w:sectPr w:rsidR="00EA55C8" w:rsidRPr="00961C0C" w:rsidSect="00567C36">
      <w:headerReference w:type="even" r:id="rId18"/>
      <w:headerReference w:type="default" r:id="rId19"/>
      <w:footerReference w:type="even" r:id="rId20"/>
      <w:footerReference w:type="default" r:id="rId21"/>
      <w:pgSz w:w="12240" w:h="15840"/>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F4F" w:rsidRDefault="00D21F4F">
      <w:r>
        <w:separator/>
      </w:r>
    </w:p>
  </w:endnote>
  <w:endnote w:type="continuationSeparator" w:id="0">
    <w:p w:rsidR="00D21F4F" w:rsidRDefault="00D21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4F" w:rsidRDefault="00DA6787" w:rsidP="008E77D3">
    <w:pPr>
      <w:pStyle w:val="Footer"/>
      <w:framePr w:wrap="around" w:vAnchor="text" w:hAnchor="margin" w:xAlign="right" w:y="1"/>
      <w:rPr>
        <w:rStyle w:val="PageNumber"/>
      </w:rPr>
    </w:pPr>
    <w:r>
      <w:rPr>
        <w:rStyle w:val="PageNumber"/>
      </w:rPr>
      <w:fldChar w:fldCharType="begin"/>
    </w:r>
    <w:r w:rsidR="00D21F4F">
      <w:rPr>
        <w:rStyle w:val="PageNumber"/>
      </w:rPr>
      <w:instrText xml:space="preserve">PAGE  </w:instrText>
    </w:r>
    <w:r>
      <w:rPr>
        <w:rStyle w:val="PageNumber"/>
      </w:rPr>
      <w:fldChar w:fldCharType="end"/>
    </w:r>
  </w:p>
  <w:p w:rsidR="00D21F4F" w:rsidRDefault="00D21F4F" w:rsidP="003756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4F" w:rsidRDefault="00D21F4F" w:rsidP="0037565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F4F" w:rsidRDefault="00D21F4F">
      <w:r>
        <w:separator/>
      </w:r>
    </w:p>
  </w:footnote>
  <w:footnote w:type="continuationSeparator" w:id="0">
    <w:p w:rsidR="00D21F4F" w:rsidRDefault="00D21F4F">
      <w:r>
        <w:continuationSeparator/>
      </w:r>
    </w:p>
  </w:footnote>
  <w:footnote w:id="1">
    <w:p w:rsidR="00D21F4F" w:rsidRPr="00FF5ABD" w:rsidRDefault="00D21F4F" w:rsidP="002F30FB">
      <w:pPr>
        <w:pStyle w:val="NBP"/>
      </w:pPr>
      <w:r>
        <w:rPr>
          <w:rStyle w:val="FootnoteReference"/>
        </w:rPr>
        <w:footnoteRef/>
      </w:r>
      <w:r w:rsidRPr="00FF5ABD">
        <w:t xml:space="preserve"> </w:t>
      </w:r>
      <w:r w:rsidRPr="000A5EB0">
        <w:t>La crise économique et financière mondiale a eu un impact considérable sur les entreprises européennes en général, et luxembourgeoises en particulier. Celles-ci ont enregistré des résu</w:t>
      </w:r>
      <w:r>
        <w:t>ltats fortement en baisse en 200</w:t>
      </w:r>
      <w:r w:rsidRPr="000A5EB0">
        <w:t xml:space="preserve">9, ce qui a été notamment mis en lumière dans </w:t>
      </w:r>
      <w:r w:rsidRPr="00CA1D80">
        <w:rPr>
          <w:b/>
        </w:rPr>
        <w:t>l’enquête Eurochambres 2010</w:t>
      </w:r>
      <w:r w:rsidRPr="001C0E20">
        <w:t xml:space="preserve"> menée l’an dernier</w:t>
      </w:r>
      <w:r w:rsidRPr="000A5EB0">
        <w:t xml:space="preserve">. Certains indicateurs </w:t>
      </w:r>
      <w:r>
        <w:t xml:space="preserve">avaient </w:t>
      </w:r>
      <w:r w:rsidRPr="000A5EB0">
        <w:t xml:space="preserve">atteint des niveaux négatifs alors encore jamais connu </w:t>
      </w:r>
      <w:r>
        <w:t xml:space="preserve">au cours des 17 premières </w:t>
      </w:r>
      <w:r w:rsidRPr="000A5EB0">
        <w:t>enquête</w:t>
      </w:r>
      <w:r>
        <w:t>s</w:t>
      </w:r>
      <w:r w:rsidRPr="000A5EB0">
        <w:t xml:space="preserve"> Eurochambres</w:t>
      </w:r>
      <w:r>
        <w:t>.</w:t>
      </w:r>
    </w:p>
  </w:footnote>
  <w:footnote w:id="2">
    <w:p w:rsidR="00D21F4F" w:rsidRPr="001B55F4" w:rsidRDefault="00D21F4F" w:rsidP="009943D3">
      <w:pPr>
        <w:pStyle w:val="NBP"/>
      </w:pPr>
      <w:r>
        <w:rPr>
          <w:rStyle w:val="FootnoteReference"/>
        </w:rPr>
        <w:footnoteRef/>
      </w:r>
      <w:r w:rsidRPr="001B55F4">
        <w:t xml:space="preserve"> </w:t>
      </w:r>
      <w:r>
        <w:t>Les entreprises de 24 pays de l’Union européenne</w:t>
      </w:r>
      <w:r w:rsidRPr="001B55F4">
        <w:t xml:space="preserve"> </w:t>
      </w:r>
      <w:r>
        <w:t>(Autriche, Belgique, Bulgarie, Chypre, République Tchèque, Danemark, Estonie, France, Allemagne, Grèce, Hongrie, Italie, Lettonie, Luxembourg, Malte, Pays-Bas, Pologne, Portugal, Roumanie, Slovaquie, Slovénie, Espagne, Suède, Royaume-Uni) ainsi que de la Croatie et de la Turquie, ont été interrogées.</w:t>
      </w:r>
    </w:p>
  </w:footnote>
  <w:footnote w:id="3">
    <w:p w:rsidR="00D21F4F" w:rsidRPr="00FD7FE0" w:rsidRDefault="00D21F4F" w:rsidP="00FD7FE0">
      <w:pPr>
        <w:pStyle w:val="NBP"/>
      </w:pPr>
      <w:r>
        <w:rPr>
          <w:rStyle w:val="FootnoteReference"/>
        </w:rPr>
        <w:footnoteRef/>
      </w:r>
      <w:r w:rsidRPr="00FD7FE0">
        <w:t xml:space="preserve"> </w:t>
      </w:r>
      <w:r>
        <w:t xml:space="preserve">Les </w:t>
      </w:r>
      <w:r w:rsidRPr="00FD7FE0">
        <w:t xml:space="preserve">balances correspondent à la différence entre le pourcentage d’entreprises ayant choisi la réponse « favorable » et le pourcentage d’entreprises ayant répondu « défavorable ». </w:t>
      </w:r>
      <w:r>
        <w:t>Les balances sont indiquées en points.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4F" w:rsidRDefault="00DA6787" w:rsidP="009254C4">
    <w:pPr>
      <w:pStyle w:val="Header"/>
      <w:framePr w:wrap="around" w:vAnchor="text" w:hAnchor="margin" w:xAlign="center" w:y="1"/>
      <w:rPr>
        <w:rStyle w:val="PageNumber"/>
      </w:rPr>
    </w:pPr>
    <w:r>
      <w:rPr>
        <w:rStyle w:val="PageNumber"/>
      </w:rPr>
      <w:fldChar w:fldCharType="begin"/>
    </w:r>
    <w:r w:rsidR="00D21F4F">
      <w:rPr>
        <w:rStyle w:val="PageNumber"/>
      </w:rPr>
      <w:instrText xml:space="preserve">PAGE  </w:instrText>
    </w:r>
    <w:r>
      <w:rPr>
        <w:rStyle w:val="PageNumber"/>
      </w:rPr>
      <w:fldChar w:fldCharType="end"/>
    </w:r>
  </w:p>
  <w:p w:rsidR="00D21F4F" w:rsidRDefault="00D21F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4F" w:rsidRDefault="00DA6787" w:rsidP="009254C4">
    <w:pPr>
      <w:pStyle w:val="Header"/>
      <w:framePr w:wrap="around" w:vAnchor="text" w:hAnchor="margin" w:xAlign="center" w:y="1"/>
      <w:rPr>
        <w:rStyle w:val="PageNumber"/>
      </w:rPr>
    </w:pPr>
    <w:r>
      <w:rPr>
        <w:rStyle w:val="PageNumber"/>
      </w:rPr>
      <w:fldChar w:fldCharType="begin"/>
    </w:r>
    <w:r w:rsidR="00D21F4F">
      <w:rPr>
        <w:rStyle w:val="PageNumber"/>
      </w:rPr>
      <w:instrText xml:space="preserve">PAGE  </w:instrText>
    </w:r>
    <w:r>
      <w:rPr>
        <w:rStyle w:val="PageNumber"/>
      </w:rPr>
      <w:fldChar w:fldCharType="separate"/>
    </w:r>
    <w:r w:rsidR="003B7142">
      <w:rPr>
        <w:rStyle w:val="PageNumber"/>
        <w:noProof/>
      </w:rPr>
      <w:t>12</w:t>
    </w:r>
    <w:r>
      <w:rPr>
        <w:rStyle w:val="PageNumber"/>
      </w:rPr>
      <w:fldChar w:fldCharType="end"/>
    </w:r>
  </w:p>
  <w:p w:rsidR="00D21F4F" w:rsidRDefault="00D21F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97A"/>
    <w:multiLevelType w:val="hybridMultilevel"/>
    <w:tmpl w:val="25AC9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F2728"/>
    <w:multiLevelType w:val="hybridMultilevel"/>
    <w:tmpl w:val="E88E359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nsid w:val="07433A06"/>
    <w:multiLevelType w:val="hybridMultilevel"/>
    <w:tmpl w:val="CFEC2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FD68A5"/>
    <w:multiLevelType w:val="hybridMultilevel"/>
    <w:tmpl w:val="BD226A4E"/>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nsid w:val="25EF09DB"/>
    <w:multiLevelType w:val="multilevel"/>
    <w:tmpl w:val="1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679206A"/>
    <w:multiLevelType w:val="hybridMultilevel"/>
    <w:tmpl w:val="FB7A3F4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29572D5D"/>
    <w:multiLevelType w:val="hybridMultilevel"/>
    <w:tmpl w:val="232EE38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29AA2202"/>
    <w:multiLevelType w:val="hybridMultilevel"/>
    <w:tmpl w:val="A0A67F40"/>
    <w:lvl w:ilvl="0" w:tplc="1EC4AC46">
      <w:start w:val="1"/>
      <w:numFmt w:val="decimal"/>
      <w:lvlText w:val="%1."/>
      <w:lvlJc w:val="left"/>
      <w:pPr>
        <w:tabs>
          <w:tab w:val="num" w:pos="720"/>
        </w:tabs>
        <w:ind w:left="720" w:hanging="360"/>
      </w:pPr>
      <w:rPr>
        <w:rFonts w:eastAsia="Arial Unicode MS"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4D7985"/>
    <w:multiLevelType w:val="hybridMultilevel"/>
    <w:tmpl w:val="5FE2D5B4"/>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9">
    <w:nsid w:val="36673D58"/>
    <w:multiLevelType w:val="hybridMultilevel"/>
    <w:tmpl w:val="6B5E9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286458"/>
    <w:multiLevelType w:val="hybridMultilevel"/>
    <w:tmpl w:val="AE8EFA62"/>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11">
    <w:nsid w:val="47A37691"/>
    <w:multiLevelType w:val="hybridMultilevel"/>
    <w:tmpl w:val="B1603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A54B27"/>
    <w:multiLevelType w:val="hybridMultilevel"/>
    <w:tmpl w:val="8B3C0AD2"/>
    <w:lvl w:ilvl="0" w:tplc="181AFB36">
      <w:start w:val="1"/>
      <w:numFmt w:val="decimal"/>
      <w:pStyle w:val="Sous-titre1"/>
      <w:lvlText w:val="%1."/>
      <w:lvlJc w:val="left"/>
      <w:pPr>
        <w:tabs>
          <w:tab w:val="num" w:pos="3196"/>
        </w:tabs>
        <w:ind w:left="3196" w:hanging="360"/>
      </w:pPr>
      <w:rPr>
        <w:rFonts w:hint="default"/>
      </w:rPr>
    </w:lvl>
    <w:lvl w:ilvl="1" w:tplc="04090001">
      <w:start w:val="1"/>
      <w:numFmt w:val="bullet"/>
      <w:lvlText w:val=""/>
      <w:lvlJc w:val="left"/>
      <w:pPr>
        <w:tabs>
          <w:tab w:val="num" w:pos="3916"/>
        </w:tabs>
        <w:ind w:left="3916" w:hanging="360"/>
      </w:pPr>
      <w:rPr>
        <w:rFonts w:ascii="Symbol" w:hAnsi="Symbol" w:hint="default"/>
      </w:rPr>
    </w:lvl>
    <w:lvl w:ilvl="2" w:tplc="0409001B" w:tentative="1">
      <w:start w:val="1"/>
      <w:numFmt w:val="lowerRoman"/>
      <w:lvlText w:val="%3."/>
      <w:lvlJc w:val="right"/>
      <w:pPr>
        <w:tabs>
          <w:tab w:val="num" w:pos="4636"/>
        </w:tabs>
        <w:ind w:left="4636" w:hanging="180"/>
      </w:pPr>
    </w:lvl>
    <w:lvl w:ilvl="3" w:tplc="0409000F" w:tentative="1">
      <w:start w:val="1"/>
      <w:numFmt w:val="decimal"/>
      <w:lvlText w:val="%4."/>
      <w:lvlJc w:val="left"/>
      <w:pPr>
        <w:tabs>
          <w:tab w:val="num" w:pos="5356"/>
        </w:tabs>
        <w:ind w:left="5356" w:hanging="360"/>
      </w:pPr>
    </w:lvl>
    <w:lvl w:ilvl="4" w:tplc="04090019" w:tentative="1">
      <w:start w:val="1"/>
      <w:numFmt w:val="lowerLetter"/>
      <w:lvlText w:val="%5."/>
      <w:lvlJc w:val="left"/>
      <w:pPr>
        <w:tabs>
          <w:tab w:val="num" w:pos="6076"/>
        </w:tabs>
        <w:ind w:left="6076" w:hanging="360"/>
      </w:pPr>
    </w:lvl>
    <w:lvl w:ilvl="5" w:tplc="0409001B" w:tentative="1">
      <w:start w:val="1"/>
      <w:numFmt w:val="lowerRoman"/>
      <w:lvlText w:val="%6."/>
      <w:lvlJc w:val="right"/>
      <w:pPr>
        <w:tabs>
          <w:tab w:val="num" w:pos="6796"/>
        </w:tabs>
        <w:ind w:left="6796" w:hanging="180"/>
      </w:pPr>
    </w:lvl>
    <w:lvl w:ilvl="6" w:tplc="0409000F" w:tentative="1">
      <w:start w:val="1"/>
      <w:numFmt w:val="decimal"/>
      <w:lvlText w:val="%7."/>
      <w:lvlJc w:val="left"/>
      <w:pPr>
        <w:tabs>
          <w:tab w:val="num" w:pos="7516"/>
        </w:tabs>
        <w:ind w:left="7516" w:hanging="360"/>
      </w:pPr>
    </w:lvl>
    <w:lvl w:ilvl="7" w:tplc="04090019" w:tentative="1">
      <w:start w:val="1"/>
      <w:numFmt w:val="lowerLetter"/>
      <w:lvlText w:val="%8."/>
      <w:lvlJc w:val="left"/>
      <w:pPr>
        <w:tabs>
          <w:tab w:val="num" w:pos="8236"/>
        </w:tabs>
        <w:ind w:left="8236" w:hanging="360"/>
      </w:pPr>
    </w:lvl>
    <w:lvl w:ilvl="8" w:tplc="0409001B" w:tentative="1">
      <w:start w:val="1"/>
      <w:numFmt w:val="lowerRoman"/>
      <w:lvlText w:val="%9."/>
      <w:lvlJc w:val="right"/>
      <w:pPr>
        <w:tabs>
          <w:tab w:val="num" w:pos="8956"/>
        </w:tabs>
        <w:ind w:left="8956" w:hanging="180"/>
      </w:pPr>
    </w:lvl>
  </w:abstractNum>
  <w:abstractNum w:abstractNumId="13">
    <w:nsid w:val="4CA3595C"/>
    <w:multiLevelType w:val="hybridMultilevel"/>
    <w:tmpl w:val="ADE807C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nsid w:val="4D173101"/>
    <w:multiLevelType w:val="hybridMultilevel"/>
    <w:tmpl w:val="37B204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E612934"/>
    <w:multiLevelType w:val="hybridMultilevel"/>
    <w:tmpl w:val="90CC8E9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512713AF"/>
    <w:multiLevelType w:val="hybridMultilevel"/>
    <w:tmpl w:val="9FC24F52"/>
    <w:lvl w:ilvl="0" w:tplc="1832BFB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8760D4"/>
    <w:multiLevelType w:val="hybridMultilevel"/>
    <w:tmpl w:val="CDDE3D9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nsid w:val="51A615AD"/>
    <w:multiLevelType w:val="hybridMultilevel"/>
    <w:tmpl w:val="A83CA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5466DB"/>
    <w:multiLevelType w:val="hybridMultilevel"/>
    <w:tmpl w:val="6CC8A25A"/>
    <w:lvl w:ilvl="0" w:tplc="1832BFB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59781F"/>
    <w:multiLevelType w:val="hybridMultilevel"/>
    <w:tmpl w:val="2CCE6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1D71C3"/>
    <w:multiLevelType w:val="hybridMultilevel"/>
    <w:tmpl w:val="502C3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0206530"/>
    <w:multiLevelType w:val="hybridMultilevel"/>
    <w:tmpl w:val="78D88F7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3">
    <w:nsid w:val="608A6994"/>
    <w:multiLevelType w:val="hybridMultilevel"/>
    <w:tmpl w:val="1DCEE81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nsid w:val="707A4E9B"/>
    <w:multiLevelType w:val="hybridMultilevel"/>
    <w:tmpl w:val="ABE4C9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70C7449A"/>
    <w:multiLevelType w:val="hybridMultilevel"/>
    <w:tmpl w:val="F7BA4314"/>
    <w:lvl w:ilvl="0" w:tplc="1832BFB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497F82"/>
    <w:multiLevelType w:val="hybridMultilevel"/>
    <w:tmpl w:val="91C6ECC4"/>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7">
    <w:nsid w:val="74EE2158"/>
    <w:multiLevelType w:val="hybridMultilevel"/>
    <w:tmpl w:val="5DC81F42"/>
    <w:lvl w:ilvl="0" w:tplc="D3D2B8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D1287C"/>
    <w:multiLevelType w:val="hybridMultilevel"/>
    <w:tmpl w:val="ED02023A"/>
    <w:lvl w:ilvl="0" w:tplc="1832BFB8">
      <w:start w:val="200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AFD1485"/>
    <w:multiLevelType w:val="hybridMultilevel"/>
    <w:tmpl w:val="909C2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DE7056"/>
    <w:multiLevelType w:val="hybridMultilevel"/>
    <w:tmpl w:val="B148B9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E7A554F"/>
    <w:multiLevelType w:val="hybridMultilevel"/>
    <w:tmpl w:val="16AC264E"/>
    <w:lvl w:ilvl="0" w:tplc="C24A0A9A">
      <w:start w:val="1"/>
      <w:numFmt w:val="bullet"/>
      <w:lvlText w:val=""/>
      <w:lvlJc w:val="left"/>
      <w:pPr>
        <w:ind w:left="360" w:hanging="360"/>
      </w:pPr>
      <w:rPr>
        <w:rFonts w:ascii="Symbol" w:hAnsi="Symbol"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7"/>
  </w:num>
  <w:num w:numId="4">
    <w:abstractNumId w:val="20"/>
  </w:num>
  <w:num w:numId="5">
    <w:abstractNumId w:val="11"/>
  </w:num>
  <w:num w:numId="6">
    <w:abstractNumId w:val="12"/>
  </w:num>
  <w:num w:numId="7">
    <w:abstractNumId w:val="27"/>
  </w:num>
  <w:num w:numId="8">
    <w:abstractNumId w:val="12"/>
    <w:lvlOverride w:ilvl="0">
      <w:startOverride w:val="1"/>
    </w:lvlOverride>
  </w:num>
  <w:num w:numId="9">
    <w:abstractNumId w:val="28"/>
  </w:num>
  <w:num w:numId="10">
    <w:abstractNumId w:val="29"/>
  </w:num>
  <w:num w:numId="11">
    <w:abstractNumId w:val="16"/>
  </w:num>
  <w:num w:numId="12">
    <w:abstractNumId w:val="19"/>
  </w:num>
  <w:num w:numId="13">
    <w:abstractNumId w:val="25"/>
  </w:num>
  <w:num w:numId="14">
    <w:abstractNumId w:val="2"/>
  </w:num>
  <w:num w:numId="15">
    <w:abstractNumId w:val="18"/>
  </w:num>
  <w:num w:numId="16">
    <w:abstractNumId w:val="21"/>
  </w:num>
  <w:num w:numId="17">
    <w:abstractNumId w:val="4"/>
  </w:num>
  <w:num w:numId="18">
    <w:abstractNumId w:val="22"/>
  </w:num>
  <w:num w:numId="19">
    <w:abstractNumId w:val="8"/>
  </w:num>
  <w:num w:numId="20">
    <w:abstractNumId w:val="1"/>
  </w:num>
  <w:num w:numId="21">
    <w:abstractNumId w:val="13"/>
  </w:num>
  <w:num w:numId="22">
    <w:abstractNumId w:val="26"/>
  </w:num>
  <w:num w:numId="23">
    <w:abstractNumId w:val="17"/>
  </w:num>
  <w:num w:numId="24">
    <w:abstractNumId w:val="3"/>
  </w:num>
  <w:num w:numId="25">
    <w:abstractNumId w:val="24"/>
  </w:num>
  <w:num w:numId="26">
    <w:abstractNumId w:val="5"/>
  </w:num>
  <w:num w:numId="27">
    <w:abstractNumId w:val="30"/>
  </w:num>
  <w:num w:numId="28">
    <w:abstractNumId w:val="14"/>
  </w:num>
  <w:num w:numId="29">
    <w:abstractNumId w:val="15"/>
  </w:num>
  <w:num w:numId="30">
    <w:abstractNumId w:val="31"/>
  </w:num>
  <w:num w:numId="31">
    <w:abstractNumId w:val="6"/>
  </w:num>
  <w:num w:numId="32">
    <w:abstractNumId w:val="23"/>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75658"/>
    <w:rsid w:val="00001152"/>
    <w:rsid w:val="00004096"/>
    <w:rsid w:val="00012069"/>
    <w:rsid w:val="00015655"/>
    <w:rsid w:val="00015984"/>
    <w:rsid w:val="0001678D"/>
    <w:rsid w:val="0002023F"/>
    <w:rsid w:val="00020A1A"/>
    <w:rsid w:val="000214D9"/>
    <w:rsid w:val="00023326"/>
    <w:rsid w:val="0002464E"/>
    <w:rsid w:val="00025CE3"/>
    <w:rsid w:val="0003290B"/>
    <w:rsid w:val="000332F0"/>
    <w:rsid w:val="0003637F"/>
    <w:rsid w:val="00036892"/>
    <w:rsid w:val="000404C7"/>
    <w:rsid w:val="00041474"/>
    <w:rsid w:val="000430CF"/>
    <w:rsid w:val="00043D41"/>
    <w:rsid w:val="0004666B"/>
    <w:rsid w:val="00051D6E"/>
    <w:rsid w:val="00051F2A"/>
    <w:rsid w:val="0005611B"/>
    <w:rsid w:val="00072F29"/>
    <w:rsid w:val="00073D2B"/>
    <w:rsid w:val="00074D98"/>
    <w:rsid w:val="00075B2C"/>
    <w:rsid w:val="00076203"/>
    <w:rsid w:val="00077F79"/>
    <w:rsid w:val="0008035B"/>
    <w:rsid w:val="00081EAA"/>
    <w:rsid w:val="000821E3"/>
    <w:rsid w:val="000823ED"/>
    <w:rsid w:val="00083CB6"/>
    <w:rsid w:val="00086383"/>
    <w:rsid w:val="0009489E"/>
    <w:rsid w:val="00094AEA"/>
    <w:rsid w:val="00094FF0"/>
    <w:rsid w:val="0009755B"/>
    <w:rsid w:val="00097B9E"/>
    <w:rsid w:val="000A2070"/>
    <w:rsid w:val="000A369F"/>
    <w:rsid w:val="000A51B1"/>
    <w:rsid w:val="000A5EB0"/>
    <w:rsid w:val="000B0F41"/>
    <w:rsid w:val="000B3EEC"/>
    <w:rsid w:val="000B4886"/>
    <w:rsid w:val="000B62E1"/>
    <w:rsid w:val="000B7943"/>
    <w:rsid w:val="000C0A7C"/>
    <w:rsid w:val="000C2497"/>
    <w:rsid w:val="000C494D"/>
    <w:rsid w:val="000C7FB4"/>
    <w:rsid w:val="000D4F37"/>
    <w:rsid w:val="000D5D47"/>
    <w:rsid w:val="000D6FB9"/>
    <w:rsid w:val="000D7A6B"/>
    <w:rsid w:val="000E1CB4"/>
    <w:rsid w:val="000E31A8"/>
    <w:rsid w:val="000E64E0"/>
    <w:rsid w:val="000E67F3"/>
    <w:rsid w:val="000E6A91"/>
    <w:rsid w:val="000E7E09"/>
    <w:rsid w:val="000F5D9F"/>
    <w:rsid w:val="000F621C"/>
    <w:rsid w:val="00105BFB"/>
    <w:rsid w:val="00130AAF"/>
    <w:rsid w:val="00131C93"/>
    <w:rsid w:val="00133DAD"/>
    <w:rsid w:val="00134DFE"/>
    <w:rsid w:val="001352B4"/>
    <w:rsid w:val="00140A3F"/>
    <w:rsid w:val="00142920"/>
    <w:rsid w:val="0014339D"/>
    <w:rsid w:val="001438B0"/>
    <w:rsid w:val="0014518F"/>
    <w:rsid w:val="00145752"/>
    <w:rsid w:val="001516A9"/>
    <w:rsid w:val="0015356E"/>
    <w:rsid w:val="001536D2"/>
    <w:rsid w:val="00153F88"/>
    <w:rsid w:val="0015434C"/>
    <w:rsid w:val="00156B2E"/>
    <w:rsid w:val="00157FAF"/>
    <w:rsid w:val="0016395B"/>
    <w:rsid w:val="00164EE1"/>
    <w:rsid w:val="00167F2B"/>
    <w:rsid w:val="001705B3"/>
    <w:rsid w:val="00170A39"/>
    <w:rsid w:val="0017119B"/>
    <w:rsid w:val="00172928"/>
    <w:rsid w:val="001749A1"/>
    <w:rsid w:val="00182600"/>
    <w:rsid w:val="00182C6A"/>
    <w:rsid w:val="00184A31"/>
    <w:rsid w:val="00186AA5"/>
    <w:rsid w:val="001879CE"/>
    <w:rsid w:val="001A5407"/>
    <w:rsid w:val="001A5CE9"/>
    <w:rsid w:val="001A6F2F"/>
    <w:rsid w:val="001B037F"/>
    <w:rsid w:val="001B0A07"/>
    <w:rsid w:val="001B1D33"/>
    <w:rsid w:val="001B2E95"/>
    <w:rsid w:val="001B3843"/>
    <w:rsid w:val="001C0E20"/>
    <w:rsid w:val="001C20D8"/>
    <w:rsid w:val="001C7FAC"/>
    <w:rsid w:val="001D0725"/>
    <w:rsid w:val="001D0DA3"/>
    <w:rsid w:val="001D1B70"/>
    <w:rsid w:val="001D3A0E"/>
    <w:rsid w:val="001D6696"/>
    <w:rsid w:val="001D7C16"/>
    <w:rsid w:val="001E016C"/>
    <w:rsid w:val="001E04DE"/>
    <w:rsid w:val="001E17C0"/>
    <w:rsid w:val="001E1D66"/>
    <w:rsid w:val="001E232B"/>
    <w:rsid w:val="001E388A"/>
    <w:rsid w:val="001E6CCF"/>
    <w:rsid w:val="001F42E8"/>
    <w:rsid w:val="00204D33"/>
    <w:rsid w:val="002064F1"/>
    <w:rsid w:val="00214074"/>
    <w:rsid w:val="00215FFB"/>
    <w:rsid w:val="00220D7A"/>
    <w:rsid w:val="00222957"/>
    <w:rsid w:val="00223E23"/>
    <w:rsid w:val="002240A3"/>
    <w:rsid w:val="002254E1"/>
    <w:rsid w:val="00225E7C"/>
    <w:rsid w:val="00226B57"/>
    <w:rsid w:val="002277B4"/>
    <w:rsid w:val="00227FE9"/>
    <w:rsid w:val="0023044E"/>
    <w:rsid w:val="0023213F"/>
    <w:rsid w:val="00232307"/>
    <w:rsid w:val="00232B5A"/>
    <w:rsid w:val="00232CAF"/>
    <w:rsid w:val="00233570"/>
    <w:rsid w:val="0023445D"/>
    <w:rsid w:val="00235676"/>
    <w:rsid w:val="002410E8"/>
    <w:rsid w:val="00241C9D"/>
    <w:rsid w:val="00242322"/>
    <w:rsid w:val="00244992"/>
    <w:rsid w:val="0025423B"/>
    <w:rsid w:val="0025587C"/>
    <w:rsid w:val="002569DF"/>
    <w:rsid w:val="00260825"/>
    <w:rsid w:val="002631F1"/>
    <w:rsid w:val="00264330"/>
    <w:rsid w:val="00264729"/>
    <w:rsid w:val="00266D30"/>
    <w:rsid w:val="002670A1"/>
    <w:rsid w:val="002708E4"/>
    <w:rsid w:val="002710B8"/>
    <w:rsid w:val="002768E3"/>
    <w:rsid w:val="002777A5"/>
    <w:rsid w:val="00284467"/>
    <w:rsid w:val="00284A0F"/>
    <w:rsid w:val="002874DA"/>
    <w:rsid w:val="0028780D"/>
    <w:rsid w:val="002927AD"/>
    <w:rsid w:val="00294679"/>
    <w:rsid w:val="002960F1"/>
    <w:rsid w:val="00296EDE"/>
    <w:rsid w:val="002A36CB"/>
    <w:rsid w:val="002A4240"/>
    <w:rsid w:val="002A4910"/>
    <w:rsid w:val="002A4BA5"/>
    <w:rsid w:val="002A55A1"/>
    <w:rsid w:val="002B06CB"/>
    <w:rsid w:val="002B170C"/>
    <w:rsid w:val="002B29B1"/>
    <w:rsid w:val="002B2AF6"/>
    <w:rsid w:val="002B36E7"/>
    <w:rsid w:val="002B46F3"/>
    <w:rsid w:val="002C15CA"/>
    <w:rsid w:val="002C20FB"/>
    <w:rsid w:val="002C2C13"/>
    <w:rsid w:val="002C2FE9"/>
    <w:rsid w:val="002C3606"/>
    <w:rsid w:val="002C3F90"/>
    <w:rsid w:val="002D0A0E"/>
    <w:rsid w:val="002D1258"/>
    <w:rsid w:val="002D5A94"/>
    <w:rsid w:val="002D600C"/>
    <w:rsid w:val="002D6D00"/>
    <w:rsid w:val="002D7F05"/>
    <w:rsid w:val="002E0339"/>
    <w:rsid w:val="002E10DC"/>
    <w:rsid w:val="002E1EAA"/>
    <w:rsid w:val="002E4E08"/>
    <w:rsid w:val="002E5FAA"/>
    <w:rsid w:val="002F0939"/>
    <w:rsid w:val="002F0F50"/>
    <w:rsid w:val="002F30FB"/>
    <w:rsid w:val="002F3AEA"/>
    <w:rsid w:val="002F7737"/>
    <w:rsid w:val="00302AFA"/>
    <w:rsid w:val="0030374A"/>
    <w:rsid w:val="003044A1"/>
    <w:rsid w:val="00304536"/>
    <w:rsid w:val="003122F1"/>
    <w:rsid w:val="00312E46"/>
    <w:rsid w:val="003163A7"/>
    <w:rsid w:val="00321A63"/>
    <w:rsid w:val="00321F88"/>
    <w:rsid w:val="003249AF"/>
    <w:rsid w:val="00325CD1"/>
    <w:rsid w:val="00336509"/>
    <w:rsid w:val="00340D96"/>
    <w:rsid w:val="00341867"/>
    <w:rsid w:val="0034565C"/>
    <w:rsid w:val="0034601D"/>
    <w:rsid w:val="0035116E"/>
    <w:rsid w:val="00351EFD"/>
    <w:rsid w:val="00352A56"/>
    <w:rsid w:val="00352C71"/>
    <w:rsid w:val="00353831"/>
    <w:rsid w:val="0035684E"/>
    <w:rsid w:val="00357544"/>
    <w:rsid w:val="00357660"/>
    <w:rsid w:val="00362D76"/>
    <w:rsid w:val="00363258"/>
    <w:rsid w:val="0036637D"/>
    <w:rsid w:val="00371B90"/>
    <w:rsid w:val="00374CA7"/>
    <w:rsid w:val="00375658"/>
    <w:rsid w:val="0037568D"/>
    <w:rsid w:val="00375E57"/>
    <w:rsid w:val="00381F0B"/>
    <w:rsid w:val="0038248F"/>
    <w:rsid w:val="003842A2"/>
    <w:rsid w:val="00385C8C"/>
    <w:rsid w:val="00385D27"/>
    <w:rsid w:val="00387C1C"/>
    <w:rsid w:val="003920BF"/>
    <w:rsid w:val="00393B08"/>
    <w:rsid w:val="003A42E7"/>
    <w:rsid w:val="003A4F88"/>
    <w:rsid w:val="003B6A33"/>
    <w:rsid w:val="003B7142"/>
    <w:rsid w:val="003C05EE"/>
    <w:rsid w:val="003C070C"/>
    <w:rsid w:val="003C3DCD"/>
    <w:rsid w:val="003D091E"/>
    <w:rsid w:val="003D0AAD"/>
    <w:rsid w:val="003D1EEE"/>
    <w:rsid w:val="003D309E"/>
    <w:rsid w:val="003D3886"/>
    <w:rsid w:val="003D3889"/>
    <w:rsid w:val="003D4999"/>
    <w:rsid w:val="003D4CF3"/>
    <w:rsid w:val="003E3139"/>
    <w:rsid w:val="003E73EF"/>
    <w:rsid w:val="003F01C2"/>
    <w:rsid w:val="003F0EF1"/>
    <w:rsid w:val="003F3477"/>
    <w:rsid w:val="003F3A44"/>
    <w:rsid w:val="003F51A0"/>
    <w:rsid w:val="003F6454"/>
    <w:rsid w:val="003F7314"/>
    <w:rsid w:val="004015BB"/>
    <w:rsid w:val="004026D8"/>
    <w:rsid w:val="004044E8"/>
    <w:rsid w:val="00404DB3"/>
    <w:rsid w:val="00405ED8"/>
    <w:rsid w:val="004060EB"/>
    <w:rsid w:val="0040735E"/>
    <w:rsid w:val="00411D2A"/>
    <w:rsid w:val="00412E4D"/>
    <w:rsid w:val="00416EBD"/>
    <w:rsid w:val="0041776F"/>
    <w:rsid w:val="00421DB9"/>
    <w:rsid w:val="00422CAA"/>
    <w:rsid w:val="004268A3"/>
    <w:rsid w:val="0043086F"/>
    <w:rsid w:val="0043174A"/>
    <w:rsid w:val="004320EE"/>
    <w:rsid w:val="0043311F"/>
    <w:rsid w:val="0043494D"/>
    <w:rsid w:val="00435097"/>
    <w:rsid w:val="00435E0C"/>
    <w:rsid w:val="0043627E"/>
    <w:rsid w:val="00437401"/>
    <w:rsid w:val="00443F31"/>
    <w:rsid w:val="00445684"/>
    <w:rsid w:val="0044611B"/>
    <w:rsid w:val="004462D5"/>
    <w:rsid w:val="00447795"/>
    <w:rsid w:val="00450163"/>
    <w:rsid w:val="004504ED"/>
    <w:rsid w:val="00451581"/>
    <w:rsid w:val="00467F7A"/>
    <w:rsid w:val="004705DC"/>
    <w:rsid w:val="004740FD"/>
    <w:rsid w:val="00474292"/>
    <w:rsid w:val="004745FC"/>
    <w:rsid w:val="004761E6"/>
    <w:rsid w:val="00476B01"/>
    <w:rsid w:val="00482A2F"/>
    <w:rsid w:val="00486925"/>
    <w:rsid w:val="004869FE"/>
    <w:rsid w:val="00490DDF"/>
    <w:rsid w:val="0049259B"/>
    <w:rsid w:val="00492684"/>
    <w:rsid w:val="00495D41"/>
    <w:rsid w:val="00497A2A"/>
    <w:rsid w:val="00497FF3"/>
    <w:rsid w:val="004A06AC"/>
    <w:rsid w:val="004A41E3"/>
    <w:rsid w:val="004A46F0"/>
    <w:rsid w:val="004A5D91"/>
    <w:rsid w:val="004B2227"/>
    <w:rsid w:val="004B5817"/>
    <w:rsid w:val="004B6FC8"/>
    <w:rsid w:val="004C1BBA"/>
    <w:rsid w:val="004C2695"/>
    <w:rsid w:val="004C3070"/>
    <w:rsid w:val="004C364A"/>
    <w:rsid w:val="004C3BD7"/>
    <w:rsid w:val="004C4C85"/>
    <w:rsid w:val="004C54D9"/>
    <w:rsid w:val="004C5C97"/>
    <w:rsid w:val="004C668C"/>
    <w:rsid w:val="004C7A31"/>
    <w:rsid w:val="004E3521"/>
    <w:rsid w:val="004E440C"/>
    <w:rsid w:val="004E58E1"/>
    <w:rsid w:val="004E7890"/>
    <w:rsid w:val="004E7ABE"/>
    <w:rsid w:val="004F2DC4"/>
    <w:rsid w:val="004F4FF5"/>
    <w:rsid w:val="004F5791"/>
    <w:rsid w:val="00501EBB"/>
    <w:rsid w:val="005036FB"/>
    <w:rsid w:val="00505C87"/>
    <w:rsid w:val="00507940"/>
    <w:rsid w:val="00513A86"/>
    <w:rsid w:val="00514555"/>
    <w:rsid w:val="00514978"/>
    <w:rsid w:val="00520238"/>
    <w:rsid w:val="0052200B"/>
    <w:rsid w:val="00522A95"/>
    <w:rsid w:val="00522F9D"/>
    <w:rsid w:val="005278C7"/>
    <w:rsid w:val="005308BD"/>
    <w:rsid w:val="00531857"/>
    <w:rsid w:val="00532F24"/>
    <w:rsid w:val="0053689E"/>
    <w:rsid w:val="005369A7"/>
    <w:rsid w:val="005401ED"/>
    <w:rsid w:val="0054400B"/>
    <w:rsid w:val="00551301"/>
    <w:rsid w:val="005602C5"/>
    <w:rsid w:val="00560F86"/>
    <w:rsid w:val="00562835"/>
    <w:rsid w:val="00565D01"/>
    <w:rsid w:val="00567C36"/>
    <w:rsid w:val="00574DD6"/>
    <w:rsid w:val="00575556"/>
    <w:rsid w:val="005755E6"/>
    <w:rsid w:val="00576837"/>
    <w:rsid w:val="005842B9"/>
    <w:rsid w:val="005954CE"/>
    <w:rsid w:val="00595DD5"/>
    <w:rsid w:val="00595FA6"/>
    <w:rsid w:val="005A0030"/>
    <w:rsid w:val="005A06A4"/>
    <w:rsid w:val="005A1619"/>
    <w:rsid w:val="005A3FDE"/>
    <w:rsid w:val="005A47D7"/>
    <w:rsid w:val="005B456D"/>
    <w:rsid w:val="005B6F66"/>
    <w:rsid w:val="005C361C"/>
    <w:rsid w:val="005C46DD"/>
    <w:rsid w:val="005C5C55"/>
    <w:rsid w:val="005C6317"/>
    <w:rsid w:val="005C7A05"/>
    <w:rsid w:val="005D0ACE"/>
    <w:rsid w:val="005D0E46"/>
    <w:rsid w:val="005D4DBD"/>
    <w:rsid w:val="005D6B3F"/>
    <w:rsid w:val="005E11EE"/>
    <w:rsid w:val="005E4211"/>
    <w:rsid w:val="005E4320"/>
    <w:rsid w:val="005E4321"/>
    <w:rsid w:val="005E5F50"/>
    <w:rsid w:val="005F1FD1"/>
    <w:rsid w:val="005F2D57"/>
    <w:rsid w:val="005F3B8C"/>
    <w:rsid w:val="005F4FDB"/>
    <w:rsid w:val="00600BFD"/>
    <w:rsid w:val="00602551"/>
    <w:rsid w:val="00602B79"/>
    <w:rsid w:val="00604729"/>
    <w:rsid w:val="006057A0"/>
    <w:rsid w:val="00612683"/>
    <w:rsid w:val="00615BE1"/>
    <w:rsid w:val="00616219"/>
    <w:rsid w:val="00622EC1"/>
    <w:rsid w:val="00625BF5"/>
    <w:rsid w:val="006276BF"/>
    <w:rsid w:val="00631B25"/>
    <w:rsid w:val="006361AD"/>
    <w:rsid w:val="00642712"/>
    <w:rsid w:val="00643E22"/>
    <w:rsid w:val="00646519"/>
    <w:rsid w:val="00647B4B"/>
    <w:rsid w:val="00656272"/>
    <w:rsid w:val="00656574"/>
    <w:rsid w:val="00662F92"/>
    <w:rsid w:val="006630B9"/>
    <w:rsid w:val="006631C5"/>
    <w:rsid w:val="00664726"/>
    <w:rsid w:val="0067465A"/>
    <w:rsid w:val="00675426"/>
    <w:rsid w:val="00675C4E"/>
    <w:rsid w:val="0067760F"/>
    <w:rsid w:val="00680D73"/>
    <w:rsid w:val="0068594E"/>
    <w:rsid w:val="00690DB4"/>
    <w:rsid w:val="00691758"/>
    <w:rsid w:val="00693159"/>
    <w:rsid w:val="00693DEC"/>
    <w:rsid w:val="00694A48"/>
    <w:rsid w:val="00696C69"/>
    <w:rsid w:val="006A16DD"/>
    <w:rsid w:val="006A2B81"/>
    <w:rsid w:val="006A528C"/>
    <w:rsid w:val="006A6269"/>
    <w:rsid w:val="006B0AE2"/>
    <w:rsid w:val="006B7B2E"/>
    <w:rsid w:val="006C266D"/>
    <w:rsid w:val="006C34FD"/>
    <w:rsid w:val="006C400B"/>
    <w:rsid w:val="006C49A5"/>
    <w:rsid w:val="006C5084"/>
    <w:rsid w:val="006C5415"/>
    <w:rsid w:val="006D05B0"/>
    <w:rsid w:val="006D1A9B"/>
    <w:rsid w:val="006D2DE9"/>
    <w:rsid w:val="006D38BF"/>
    <w:rsid w:val="006D42EE"/>
    <w:rsid w:val="006D60E0"/>
    <w:rsid w:val="006D6CFB"/>
    <w:rsid w:val="006E2FCC"/>
    <w:rsid w:val="006E4BA2"/>
    <w:rsid w:val="006E64C4"/>
    <w:rsid w:val="006E66CF"/>
    <w:rsid w:val="006F290A"/>
    <w:rsid w:val="006F3547"/>
    <w:rsid w:val="006F4F98"/>
    <w:rsid w:val="006F61DF"/>
    <w:rsid w:val="00702DAD"/>
    <w:rsid w:val="00703CDE"/>
    <w:rsid w:val="00706E42"/>
    <w:rsid w:val="00711273"/>
    <w:rsid w:val="00711BE8"/>
    <w:rsid w:val="00711E5B"/>
    <w:rsid w:val="00713272"/>
    <w:rsid w:val="00715E59"/>
    <w:rsid w:val="00722125"/>
    <w:rsid w:val="00723B84"/>
    <w:rsid w:val="0072463E"/>
    <w:rsid w:val="00724680"/>
    <w:rsid w:val="00730A04"/>
    <w:rsid w:val="00731BD5"/>
    <w:rsid w:val="00732575"/>
    <w:rsid w:val="0073296C"/>
    <w:rsid w:val="007334DA"/>
    <w:rsid w:val="00733EDD"/>
    <w:rsid w:val="00734D75"/>
    <w:rsid w:val="00734F36"/>
    <w:rsid w:val="007354DE"/>
    <w:rsid w:val="00740A80"/>
    <w:rsid w:val="00740AB9"/>
    <w:rsid w:val="0074690A"/>
    <w:rsid w:val="007476E5"/>
    <w:rsid w:val="007514FC"/>
    <w:rsid w:val="00753435"/>
    <w:rsid w:val="00757228"/>
    <w:rsid w:val="00760D66"/>
    <w:rsid w:val="00762A6F"/>
    <w:rsid w:val="0076489A"/>
    <w:rsid w:val="007652F8"/>
    <w:rsid w:val="00766120"/>
    <w:rsid w:val="00770199"/>
    <w:rsid w:val="00771A9F"/>
    <w:rsid w:val="00772471"/>
    <w:rsid w:val="00772BA1"/>
    <w:rsid w:val="00773695"/>
    <w:rsid w:val="00773C08"/>
    <w:rsid w:val="00776295"/>
    <w:rsid w:val="00780718"/>
    <w:rsid w:val="007850AF"/>
    <w:rsid w:val="007854D7"/>
    <w:rsid w:val="00791D8D"/>
    <w:rsid w:val="00793A80"/>
    <w:rsid w:val="007970A6"/>
    <w:rsid w:val="00797153"/>
    <w:rsid w:val="007A3BA3"/>
    <w:rsid w:val="007B1753"/>
    <w:rsid w:val="007B39E9"/>
    <w:rsid w:val="007C3713"/>
    <w:rsid w:val="007C620F"/>
    <w:rsid w:val="007C7C08"/>
    <w:rsid w:val="007D754B"/>
    <w:rsid w:val="007D7F9C"/>
    <w:rsid w:val="007E04D3"/>
    <w:rsid w:val="007E13A0"/>
    <w:rsid w:val="007E14F3"/>
    <w:rsid w:val="007E18B8"/>
    <w:rsid w:val="007E296B"/>
    <w:rsid w:val="007E4841"/>
    <w:rsid w:val="007E7CC1"/>
    <w:rsid w:val="007F217F"/>
    <w:rsid w:val="007F2B7D"/>
    <w:rsid w:val="007F4D53"/>
    <w:rsid w:val="007F5A06"/>
    <w:rsid w:val="007F5DFC"/>
    <w:rsid w:val="007F778D"/>
    <w:rsid w:val="00801450"/>
    <w:rsid w:val="00801E58"/>
    <w:rsid w:val="00805D25"/>
    <w:rsid w:val="00806729"/>
    <w:rsid w:val="00806D51"/>
    <w:rsid w:val="00807E8E"/>
    <w:rsid w:val="0081080C"/>
    <w:rsid w:val="008108D8"/>
    <w:rsid w:val="00812594"/>
    <w:rsid w:val="00814E82"/>
    <w:rsid w:val="0082182F"/>
    <w:rsid w:val="008231C3"/>
    <w:rsid w:val="008314CD"/>
    <w:rsid w:val="00833834"/>
    <w:rsid w:val="00834A56"/>
    <w:rsid w:val="008355CF"/>
    <w:rsid w:val="00835A56"/>
    <w:rsid w:val="00836955"/>
    <w:rsid w:val="00843442"/>
    <w:rsid w:val="00845162"/>
    <w:rsid w:val="0084701E"/>
    <w:rsid w:val="008500F7"/>
    <w:rsid w:val="00850BC2"/>
    <w:rsid w:val="00852029"/>
    <w:rsid w:val="0085470D"/>
    <w:rsid w:val="008549AD"/>
    <w:rsid w:val="0085547F"/>
    <w:rsid w:val="00857936"/>
    <w:rsid w:val="008631E5"/>
    <w:rsid w:val="00867F6C"/>
    <w:rsid w:val="00870C8B"/>
    <w:rsid w:val="0087354B"/>
    <w:rsid w:val="00873580"/>
    <w:rsid w:val="00875FD0"/>
    <w:rsid w:val="00877BC8"/>
    <w:rsid w:val="00877E36"/>
    <w:rsid w:val="00880EAC"/>
    <w:rsid w:val="00882388"/>
    <w:rsid w:val="00887DEB"/>
    <w:rsid w:val="0089155B"/>
    <w:rsid w:val="008918E1"/>
    <w:rsid w:val="0089476E"/>
    <w:rsid w:val="00896566"/>
    <w:rsid w:val="008A0A74"/>
    <w:rsid w:val="008A100A"/>
    <w:rsid w:val="008A2202"/>
    <w:rsid w:val="008A35C7"/>
    <w:rsid w:val="008A5DF1"/>
    <w:rsid w:val="008A6B6D"/>
    <w:rsid w:val="008B2CDB"/>
    <w:rsid w:val="008B394E"/>
    <w:rsid w:val="008C0BAF"/>
    <w:rsid w:val="008C0FAC"/>
    <w:rsid w:val="008D014E"/>
    <w:rsid w:val="008D0B3E"/>
    <w:rsid w:val="008D2C75"/>
    <w:rsid w:val="008D4C33"/>
    <w:rsid w:val="008D7C7F"/>
    <w:rsid w:val="008E3A34"/>
    <w:rsid w:val="008E4248"/>
    <w:rsid w:val="008E45B8"/>
    <w:rsid w:val="008E77D3"/>
    <w:rsid w:val="008F1D50"/>
    <w:rsid w:val="008F3B81"/>
    <w:rsid w:val="008F6BD0"/>
    <w:rsid w:val="0090475D"/>
    <w:rsid w:val="00904C69"/>
    <w:rsid w:val="0091093C"/>
    <w:rsid w:val="00911674"/>
    <w:rsid w:val="0091169F"/>
    <w:rsid w:val="0091220B"/>
    <w:rsid w:val="00912C50"/>
    <w:rsid w:val="00913060"/>
    <w:rsid w:val="00913FCF"/>
    <w:rsid w:val="00922587"/>
    <w:rsid w:val="00922787"/>
    <w:rsid w:val="009254C4"/>
    <w:rsid w:val="00932F85"/>
    <w:rsid w:val="00935B60"/>
    <w:rsid w:val="00941572"/>
    <w:rsid w:val="00945065"/>
    <w:rsid w:val="00947717"/>
    <w:rsid w:val="009531A4"/>
    <w:rsid w:val="00960378"/>
    <w:rsid w:val="0096083D"/>
    <w:rsid w:val="00960FAC"/>
    <w:rsid w:val="00961C0C"/>
    <w:rsid w:val="00962099"/>
    <w:rsid w:val="009623A3"/>
    <w:rsid w:val="00966E75"/>
    <w:rsid w:val="0096788B"/>
    <w:rsid w:val="00973FFE"/>
    <w:rsid w:val="009847FA"/>
    <w:rsid w:val="009855CF"/>
    <w:rsid w:val="00986504"/>
    <w:rsid w:val="00987F4E"/>
    <w:rsid w:val="00991853"/>
    <w:rsid w:val="009943D3"/>
    <w:rsid w:val="00995EE6"/>
    <w:rsid w:val="009961C3"/>
    <w:rsid w:val="00997661"/>
    <w:rsid w:val="00997CCC"/>
    <w:rsid w:val="009A00B5"/>
    <w:rsid w:val="009A4360"/>
    <w:rsid w:val="009A4CFD"/>
    <w:rsid w:val="009A5424"/>
    <w:rsid w:val="009A56C1"/>
    <w:rsid w:val="009B1C0E"/>
    <w:rsid w:val="009B240A"/>
    <w:rsid w:val="009B33C2"/>
    <w:rsid w:val="009B5A79"/>
    <w:rsid w:val="009B5B6B"/>
    <w:rsid w:val="009B5F28"/>
    <w:rsid w:val="009B66C3"/>
    <w:rsid w:val="009B686B"/>
    <w:rsid w:val="009B70D4"/>
    <w:rsid w:val="009C12C8"/>
    <w:rsid w:val="009C23AD"/>
    <w:rsid w:val="009C2B98"/>
    <w:rsid w:val="009C4261"/>
    <w:rsid w:val="009C78FB"/>
    <w:rsid w:val="009C7FC3"/>
    <w:rsid w:val="009D00D8"/>
    <w:rsid w:val="009D56FE"/>
    <w:rsid w:val="009D7B4D"/>
    <w:rsid w:val="009E0A48"/>
    <w:rsid w:val="009E12D3"/>
    <w:rsid w:val="009E1E44"/>
    <w:rsid w:val="009E3116"/>
    <w:rsid w:val="009E4AA1"/>
    <w:rsid w:val="009F4AF6"/>
    <w:rsid w:val="009F6DC2"/>
    <w:rsid w:val="009F7541"/>
    <w:rsid w:val="009F7D1E"/>
    <w:rsid w:val="00A046A4"/>
    <w:rsid w:val="00A128AA"/>
    <w:rsid w:val="00A13EEE"/>
    <w:rsid w:val="00A16B3B"/>
    <w:rsid w:val="00A17839"/>
    <w:rsid w:val="00A235CD"/>
    <w:rsid w:val="00A23B03"/>
    <w:rsid w:val="00A26749"/>
    <w:rsid w:val="00A27CE4"/>
    <w:rsid w:val="00A358F2"/>
    <w:rsid w:val="00A359C4"/>
    <w:rsid w:val="00A41461"/>
    <w:rsid w:val="00A41C87"/>
    <w:rsid w:val="00A50E91"/>
    <w:rsid w:val="00A50FF5"/>
    <w:rsid w:val="00A57078"/>
    <w:rsid w:val="00A615FA"/>
    <w:rsid w:val="00A64DB1"/>
    <w:rsid w:val="00A71CFA"/>
    <w:rsid w:val="00A75ADF"/>
    <w:rsid w:val="00A80461"/>
    <w:rsid w:val="00A808C7"/>
    <w:rsid w:val="00A81012"/>
    <w:rsid w:val="00A81834"/>
    <w:rsid w:val="00A83B75"/>
    <w:rsid w:val="00A83D1C"/>
    <w:rsid w:val="00A86483"/>
    <w:rsid w:val="00A91C10"/>
    <w:rsid w:val="00AA09F6"/>
    <w:rsid w:val="00AB5E92"/>
    <w:rsid w:val="00AB7351"/>
    <w:rsid w:val="00AB7383"/>
    <w:rsid w:val="00AC14C6"/>
    <w:rsid w:val="00AC206F"/>
    <w:rsid w:val="00AC2DDF"/>
    <w:rsid w:val="00AC7043"/>
    <w:rsid w:val="00AD3212"/>
    <w:rsid w:val="00AD496C"/>
    <w:rsid w:val="00AD596E"/>
    <w:rsid w:val="00AD64FF"/>
    <w:rsid w:val="00AD7D81"/>
    <w:rsid w:val="00AE0B5D"/>
    <w:rsid w:val="00AE11D8"/>
    <w:rsid w:val="00AE2336"/>
    <w:rsid w:val="00AE24D6"/>
    <w:rsid w:val="00AE2D5F"/>
    <w:rsid w:val="00AE62E8"/>
    <w:rsid w:val="00AF0317"/>
    <w:rsid w:val="00AF28C3"/>
    <w:rsid w:val="00AF465D"/>
    <w:rsid w:val="00AF5A0B"/>
    <w:rsid w:val="00B00DCF"/>
    <w:rsid w:val="00B01853"/>
    <w:rsid w:val="00B03380"/>
    <w:rsid w:val="00B04927"/>
    <w:rsid w:val="00B060F7"/>
    <w:rsid w:val="00B0650B"/>
    <w:rsid w:val="00B13B03"/>
    <w:rsid w:val="00B14ED9"/>
    <w:rsid w:val="00B20748"/>
    <w:rsid w:val="00B23C1A"/>
    <w:rsid w:val="00B242E5"/>
    <w:rsid w:val="00B247D3"/>
    <w:rsid w:val="00B27553"/>
    <w:rsid w:val="00B303A2"/>
    <w:rsid w:val="00B306CE"/>
    <w:rsid w:val="00B320CA"/>
    <w:rsid w:val="00B32C3C"/>
    <w:rsid w:val="00B33760"/>
    <w:rsid w:val="00B33D32"/>
    <w:rsid w:val="00B34D13"/>
    <w:rsid w:val="00B363DA"/>
    <w:rsid w:val="00B434DB"/>
    <w:rsid w:val="00B437B1"/>
    <w:rsid w:val="00B44380"/>
    <w:rsid w:val="00B44616"/>
    <w:rsid w:val="00B455F2"/>
    <w:rsid w:val="00B52BC4"/>
    <w:rsid w:val="00B53C55"/>
    <w:rsid w:val="00B54603"/>
    <w:rsid w:val="00B5496E"/>
    <w:rsid w:val="00B55565"/>
    <w:rsid w:val="00B57A4B"/>
    <w:rsid w:val="00B6003C"/>
    <w:rsid w:val="00B64EDB"/>
    <w:rsid w:val="00B65E14"/>
    <w:rsid w:val="00B67030"/>
    <w:rsid w:val="00B67A4E"/>
    <w:rsid w:val="00B70BB4"/>
    <w:rsid w:val="00B718C0"/>
    <w:rsid w:val="00B72DCA"/>
    <w:rsid w:val="00B75B37"/>
    <w:rsid w:val="00B765B8"/>
    <w:rsid w:val="00B77357"/>
    <w:rsid w:val="00B827FA"/>
    <w:rsid w:val="00B8487E"/>
    <w:rsid w:val="00B92139"/>
    <w:rsid w:val="00B94B28"/>
    <w:rsid w:val="00B960AD"/>
    <w:rsid w:val="00B96950"/>
    <w:rsid w:val="00B96ABD"/>
    <w:rsid w:val="00B97808"/>
    <w:rsid w:val="00BA00AB"/>
    <w:rsid w:val="00BA47D8"/>
    <w:rsid w:val="00BB37C4"/>
    <w:rsid w:val="00BB4481"/>
    <w:rsid w:val="00BB6145"/>
    <w:rsid w:val="00BB772A"/>
    <w:rsid w:val="00BC1BD1"/>
    <w:rsid w:val="00BC25DF"/>
    <w:rsid w:val="00BC2DFE"/>
    <w:rsid w:val="00BC3220"/>
    <w:rsid w:val="00BC41DD"/>
    <w:rsid w:val="00BC76FF"/>
    <w:rsid w:val="00BC7934"/>
    <w:rsid w:val="00BC7EFF"/>
    <w:rsid w:val="00BD03DC"/>
    <w:rsid w:val="00BD0BC1"/>
    <w:rsid w:val="00BD7CEB"/>
    <w:rsid w:val="00BD7EFD"/>
    <w:rsid w:val="00BE40AA"/>
    <w:rsid w:val="00BE5337"/>
    <w:rsid w:val="00BE6B1E"/>
    <w:rsid w:val="00BF0042"/>
    <w:rsid w:val="00BF0445"/>
    <w:rsid w:val="00BF0D18"/>
    <w:rsid w:val="00BF1CB7"/>
    <w:rsid w:val="00BF5EB9"/>
    <w:rsid w:val="00BF68E5"/>
    <w:rsid w:val="00BF7772"/>
    <w:rsid w:val="00C00FD8"/>
    <w:rsid w:val="00C02600"/>
    <w:rsid w:val="00C13B30"/>
    <w:rsid w:val="00C1432F"/>
    <w:rsid w:val="00C1528C"/>
    <w:rsid w:val="00C169C8"/>
    <w:rsid w:val="00C32FCA"/>
    <w:rsid w:val="00C3454D"/>
    <w:rsid w:val="00C3554B"/>
    <w:rsid w:val="00C35E70"/>
    <w:rsid w:val="00C36674"/>
    <w:rsid w:val="00C4023B"/>
    <w:rsid w:val="00C408BA"/>
    <w:rsid w:val="00C44529"/>
    <w:rsid w:val="00C47C5E"/>
    <w:rsid w:val="00C50B56"/>
    <w:rsid w:val="00C51BDB"/>
    <w:rsid w:val="00C53A8E"/>
    <w:rsid w:val="00C55686"/>
    <w:rsid w:val="00C570B9"/>
    <w:rsid w:val="00C60956"/>
    <w:rsid w:val="00C60CC4"/>
    <w:rsid w:val="00C64E9A"/>
    <w:rsid w:val="00C7003B"/>
    <w:rsid w:val="00C729CD"/>
    <w:rsid w:val="00C76938"/>
    <w:rsid w:val="00C81718"/>
    <w:rsid w:val="00C97636"/>
    <w:rsid w:val="00CA1D80"/>
    <w:rsid w:val="00CA37F8"/>
    <w:rsid w:val="00CB2294"/>
    <w:rsid w:val="00CB3FDD"/>
    <w:rsid w:val="00CB458E"/>
    <w:rsid w:val="00CB48D2"/>
    <w:rsid w:val="00CB59A1"/>
    <w:rsid w:val="00CB5B13"/>
    <w:rsid w:val="00CC0092"/>
    <w:rsid w:val="00CC1499"/>
    <w:rsid w:val="00CC15E2"/>
    <w:rsid w:val="00CC3863"/>
    <w:rsid w:val="00CC5404"/>
    <w:rsid w:val="00CD13C1"/>
    <w:rsid w:val="00CD158A"/>
    <w:rsid w:val="00CD3DD7"/>
    <w:rsid w:val="00CD3F08"/>
    <w:rsid w:val="00CD4E31"/>
    <w:rsid w:val="00CE13CE"/>
    <w:rsid w:val="00CE3C66"/>
    <w:rsid w:val="00CE533E"/>
    <w:rsid w:val="00CE53D1"/>
    <w:rsid w:val="00CE57FA"/>
    <w:rsid w:val="00CE6458"/>
    <w:rsid w:val="00CE6BC7"/>
    <w:rsid w:val="00CF03A0"/>
    <w:rsid w:val="00CF74E4"/>
    <w:rsid w:val="00CF7587"/>
    <w:rsid w:val="00D002D6"/>
    <w:rsid w:val="00D04DDA"/>
    <w:rsid w:val="00D0563F"/>
    <w:rsid w:val="00D07303"/>
    <w:rsid w:val="00D07A62"/>
    <w:rsid w:val="00D127A2"/>
    <w:rsid w:val="00D13314"/>
    <w:rsid w:val="00D13781"/>
    <w:rsid w:val="00D14553"/>
    <w:rsid w:val="00D16ABC"/>
    <w:rsid w:val="00D16D0C"/>
    <w:rsid w:val="00D20C2B"/>
    <w:rsid w:val="00D21D24"/>
    <w:rsid w:val="00D21F4F"/>
    <w:rsid w:val="00D22026"/>
    <w:rsid w:val="00D23DD4"/>
    <w:rsid w:val="00D32128"/>
    <w:rsid w:val="00D32283"/>
    <w:rsid w:val="00D338A9"/>
    <w:rsid w:val="00D344D4"/>
    <w:rsid w:val="00D43825"/>
    <w:rsid w:val="00D4413E"/>
    <w:rsid w:val="00D443D2"/>
    <w:rsid w:val="00D449B6"/>
    <w:rsid w:val="00D46513"/>
    <w:rsid w:val="00D47B37"/>
    <w:rsid w:val="00D54F02"/>
    <w:rsid w:val="00D55B76"/>
    <w:rsid w:val="00D55B8B"/>
    <w:rsid w:val="00D63DA8"/>
    <w:rsid w:val="00D65539"/>
    <w:rsid w:val="00D66242"/>
    <w:rsid w:val="00D6633A"/>
    <w:rsid w:val="00D7013A"/>
    <w:rsid w:val="00D70A63"/>
    <w:rsid w:val="00D82E55"/>
    <w:rsid w:val="00D8330D"/>
    <w:rsid w:val="00D85BB5"/>
    <w:rsid w:val="00D86DC9"/>
    <w:rsid w:val="00D8790A"/>
    <w:rsid w:val="00D938B6"/>
    <w:rsid w:val="00DA0727"/>
    <w:rsid w:val="00DA30EE"/>
    <w:rsid w:val="00DA6787"/>
    <w:rsid w:val="00DA73B4"/>
    <w:rsid w:val="00DC1259"/>
    <w:rsid w:val="00DC1560"/>
    <w:rsid w:val="00DD0161"/>
    <w:rsid w:val="00DD12A4"/>
    <w:rsid w:val="00DD2390"/>
    <w:rsid w:val="00DD23C9"/>
    <w:rsid w:val="00DD2D21"/>
    <w:rsid w:val="00DD2D5D"/>
    <w:rsid w:val="00DD6FE3"/>
    <w:rsid w:val="00DE1B59"/>
    <w:rsid w:val="00DE35CE"/>
    <w:rsid w:val="00DE6000"/>
    <w:rsid w:val="00DF460A"/>
    <w:rsid w:val="00DF4761"/>
    <w:rsid w:val="00DF48B9"/>
    <w:rsid w:val="00DF4C29"/>
    <w:rsid w:val="00DF66CB"/>
    <w:rsid w:val="00DF715B"/>
    <w:rsid w:val="00DF715D"/>
    <w:rsid w:val="00E0030E"/>
    <w:rsid w:val="00E0082D"/>
    <w:rsid w:val="00E036AD"/>
    <w:rsid w:val="00E04098"/>
    <w:rsid w:val="00E0451D"/>
    <w:rsid w:val="00E0451E"/>
    <w:rsid w:val="00E0539E"/>
    <w:rsid w:val="00E05FB4"/>
    <w:rsid w:val="00E12A59"/>
    <w:rsid w:val="00E140F6"/>
    <w:rsid w:val="00E15CD0"/>
    <w:rsid w:val="00E15DDE"/>
    <w:rsid w:val="00E22820"/>
    <w:rsid w:val="00E2522E"/>
    <w:rsid w:val="00E25C22"/>
    <w:rsid w:val="00E31097"/>
    <w:rsid w:val="00E35C6F"/>
    <w:rsid w:val="00E41D31"/>
    <w:rsid w:val="00E42D4A"/>
    <w:rsid w:val="00E447DD"/>
    <w:rsid w:val="00E45303"/>
    <w:rsid w:val="00E45942"/>
    <w:rsid w:val="00E46791"/>
    <w:rsid w:val="00E50FF6"/>
    <w:rsid w:val="00E5113B"/>
    <w:rsid w:val="00E5143A"/>
    <w:rsid w:val="00E57B94"/>
    <w:rsid w:val="00E60DD9"/>
    <w:rsid w:val="00E62C73"/>
    <w:rsid w:val="00E65820"/>
    <w:rsid w:val="00E672F4"/>
    <w:rsid w:val="00E70DD4"/>
    <w:rsid w:val="00E72019"/>
    <w:rsid w:val="00E7225E"/>
    <w:rsid w:val="00E7255F"/>
    <w:rsid w:val="00E732CB"/>
    <w:rsid w:val="00E768C9"/>
    <w:rsid w:val="00E7776E"/>
    <w:rsid w:val="00E84121"/>
    <w:rsid w:val="00E850F5"/>
    <w:rsid w:val="00E85214"/>
    <w:rsid w:val="00E853D1"/>
    <w:rsid w:val="00E8547B"/>
    <w:rsid w:val="00E87E47"/>
    <w:rsid w:val="00E91DEC"/>
    <w:rsid w:val="00E952E8"/>
    <w:rsid w:val="00EA090E"/>
    <w:rsid w:val="00EA1AF7"/>
    <w:rsid w:val="00EA2E75"/>
    <w:rsid w:val="00EA4BF4"/>
    <w:rsid w:val="00EA55C8"/>
    <w:rsid w:val="00EB004C"/>
    <w:rsid w:val="00EB303D"/>
    <w:rsid w:val="00EB330F"/>
    <w:rsid w:val="00EB345A"/>
    <w:rsid w:val="00EB3DA9"/>
    <w:rsid w:val="00EB4215"/>
    <w:rsid w:val="00EB5659"/>
    <w:rsid w:val="00EB6328"/>
    <w:rsid w:val="00EC04BE"/>
    <w:rsid w:val="00EC06B1"/>
    <w:rsid w:val="00EC10EF"/>
    <w:rsid w:val="00EC2D18"/>
    <w:rsid w:val="00EC4614"/>
    <w:rsid w:val="00ED25DC"/>
    <w:rsid w:val="00ED3443"/>
    <w:rsid w:val="00ED3DE9"/>
    <w:rsid w:val="00ED552C"/>
    <w:rsid w:val="00ED70B6"/>
    <w:rsid w:val="00ED7D30"/>
    <w:rsid w:val="00EE16FB"/>
    <w:rsid w:val="00EE182F"/>
    <w:rsid w:val="00EE7CBF"/>
    <w:rsid w:val="00EF1485"/>
    <w:rsid w:val="00EF2016"/>
    <w:rsid w:val="00EF2DFB"/>
    <w:rsid w:val="00EF6483"/>
    <w:rsid w:val="00EF69E6"/>
    <w:rsid w:val="00EF71AF"/>
    <w:rsid w:val="00F00BD3"/>
    <w:rsid w:val="00F03041"/>
    <w:rsid w:val="00F0699C"/>
    <w:rsid w:val="00F073BE"/>
    <w:rsid w:val="00F116A9"/>
    <w:rsid w:val="00F11933"/>
    <w:rsid w:val="00F16034"/>
    <w:rsid w:val="00F16C93"/>
    <w:rsid w:val="00F219F3"/>
    <w:rsid w:val="00F25205"/>
    <w:rsid w:val="00F26DFA"/>
    <w:rsid w:val="00F30B51"/>
    <w:rsid w:val="00F420B6"/>
    <w:rsid w:val="00F61AAB"/>
    <w:rsid w:val="00F61F82"/>
    <w:rsid w:val="00F66EA2"/>
    <w:rsid w:val="00F709A9"/>
    <w:rsid w:val="00F71F80"/>
    <w:rsid w:val="00F73628"/>
    <w:rsid w:val="00F740C3"/>
    <w:rsid w:val="00F82504"/>
    <w:rsid w:val="00F85179"/>
    <w:rsid w:val="00F85B44"/>
    <w:rsid w:val="00F863B8"/>
    <w:rsid w:val="00F8669A"/>
    <w:rsid w:val="00F86FA5"/>
    <w:rsid w:val="00F90F66"/>
    <w:rsid w:val="00F912FA"/>
    <w:rsid w:val="00F937D7"/>
    <w:rsid w:val="00F97F16"/>
    <w:rsid w:val="00FA2A3C"/>
    <w:rsid w:val="00FA4417"/>
    <w:rsid w:val="00FB0D06"/>
    <w:rsid w:val="00FC2BAF"/>
    <w:rsid w:val="00FC3400"/>
    <w:rsid w:val="00FC6BB4"/>
    <w:rsid w:val="00FD1A52"/>
    <w:rsid w:val="00FD46AB"/>
    <w:rsid w:val="00FD488A"/>
    <w:rsid w:val="00FD7793"/>
    <w:rsid w:val="00FD7FE0"/>
    <w:rsid w:val="00FE183D"/>
    <w:rsid w:val="00FE3BC3"/>
    <w:rsid w:val="00FE5E99"/>
    <w:rsid w:val="00FF0DE2"/>
    <w:rsid w:val="00FF108F"/>
    <w:rsid w:val="00FF385D"/>
    <w:rsid w:val="00FF4B8D"/>
    <w:rsid w:val="00FF5470"/>
    <w:rsid w:val="00FF5ABD"/>
    <w:rsid w:val="00FF68FE"/>
    <w:rsid w:val="00FF7B0D"/>
    <w:rsid w:val="00FF7D1C"/>
  </w:rsids>
  <m:mathPr>
    <m:mathFont m:val="Cambria Math"/>
    <m:brkBin m:val="before"/>
    <m:brkBinSub m:val="--"/>
    <m:smallFrac m:val="off"/>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658"/>
    <w:rPr>
      <w:sz w:val="24"/>
      <w:szCs w:val="24"/>
      <w:lang w:val="en-US" w:eastAsia="en-US"/>
    </w:rPr>
  </w:style>
  <w:style w:type="paragraph" w:styleId="Heading1">
    <w:name w:val="heading 1"/>
    <w:basedOn w:val="Normal"/>
    <w:next w:val="Normal"/>
    <w:link w:val="Heading1Char"/>
    <w:uiPriority w:val="9"/>
    <w:qFormat/>
    <w:rsid w:val="009C78FB"/>
    <w:pPr>
      <w:keepNext/>
      <w:keepLines/>
      <w:numPr>
        <w:numId w:val="17"/>
      </w:numPr>
      <w:suppressAutoHyphens/>
      <w:jc w:val="both"/>
      <w:outlineLvl w:val="0"/>
    </w:pPr>
    <w:rPr>
      <w:rFonts w:ascii="Arial" w:eastAsiaTheme="majorEastAsia" w:hAnsi="Arial" w:cstheme="majorBidi"/>
      <w:b/>
      <w:bCs/>
      <w:kern w:val="1"/>
      <w:sz w:val="26"/>
      <w:szCs w:val="28"/>
      <w:lang w:eastAsia="ar-SA"/>
    </w:rPr>
  </w:style>
  <w:style w:type="paragraph" w:styleId="Heading2">
    <w:name w:val="heading 2"/>
    <w:basedOn w:val="Normal"/>
    <w:next w:val="Normal"/>
    <w:link w:val="Heading2Char"/>
    <w:uiPriority w:val="9"/>
    <w:unhideWhenUsed/>
    <w:qFormat/>
    <w:rsid w:val="009C78FB"/>
    <w:pPr>
      <w:keepNext/>
      <w:keepLines/>
      <w:numPr>
        <w:ilvl w:val="1"/>
        <w:numId w:val="17"/>
      </w:numPr>
      <w:suppressAutoHyphens/>
      <w:jc w:val="both"/>
      <w:outlineLvl w:val="1"/>
    </w:pPr>
    <w:rPr>
      <w:rFonts w:ascii="Arial" w:eastAsiaTheme="majorEastAsia" w:hAnsi="Arial" w:cstheme="majorBidi"/>
      <w:b/>
      <w:bCs/>
      <w:kern w:val="1"/>
      <w:sz w:val="22"/>
      <w:szCs w:val="26"/>
      <w:lang w:eastAsia="ar-SA"/>
    </w:rPr>
  </w:style>
  <w:style w:type="paragraph" w:styleId="Heading3">
    <w:name w:val="heading 3"/>
    <w:basedOn w:val="Normal"/>
    <w:next w:val="Normal"/>
    <w:link w:val="Heading3Char"/>
    <w:uiPriority w:val="9"/>
    <w:unhideWhenUsed/>
    <w:qFormat/>
    <w:rsid w:val="009C78FB"/>
    <w:pPr>
      <w:keepNext/>
      <w:keepLines/>
      <w:numPr>
        <w:ilvl w:val="2"/>
        <w:numId w:val="17"/>
      </w:numPr>
      <w:suppressAutoHyphens/>
      <w:spacing w:before="200"/>
      <w:jc w:val="both"/>
      <w:outlineLvl w:val="2"/>
    </w:pPr>
    <w:rPr>
      <w:rFonts w:asciiTheme="majorHAnsi" w:eastAsiaTheme="majorEastAsia" w:hAnsiTheme="majorHAnsi" w:cstheme="majorBidi"/>
      <w:b/>
      <w:bCs/>
      <w:color w:val="4F81BD" w:themeColor="accent1"/>
      <w:kern w:val="1"/>
      <w:sz w:val="22"/>
      <w:lang w:eastAsia="ar-SA"/>
    </w:rPr>
  </w:style>
  <w:style w:type="paragraph" w:styleId="Heading4">
    <w:name w:val="heading 4"/>
    <w:basedOn w:val="Normal"/>
    <w:next w:val="Normal"/>
    <w:link w:val="Heading4Char"/>
    <w:uiPriority w:val="9"/>
    <w:semiHidden/>
    <w:unhideWhenUsed/>
    <w:qFormat/>
    <w:rsid w:val="009C78FB"/>
    <w:pPr>
      <w:keepNext/>
      <w:keepLines/>
      <w:numPr>
        <w:ilvl w:val="3"/>
        <w:numId w:val="17"/>
      </w:numPr>
      <w:suppressAutoHyphens/>
      <w:spacing w:before="200"/>
      <w:jc w:val="both"/>
      <w:outlineLvl w:val="3"/>
    </w:pPr>
    <w:rPr>
      <w:rFonts w:asciiTheme="majorHAnsi" w:eastAsiaTheme="majorEastAsia" w:hAnsiTheme="majorHAnsi" w:cstheme="majorBidi"/>
      <w:b/>
      <w:bCs/>
      <w:i/>
      <w:iCs/>
      <w:color w:val="4F81BD" w:themeColor="accent1"/>
      <w:kern w:val="1"/>
      <w:sz w:val="22"/>
      <w:lang w:eastAsia="ar-SA"/>
    </w:rPr>
  </w:style>
  <w:style w:type="paragraph" w:styleId="Heading5">
    <w:name w:val="heading 5"/>
    <w:basedOn w:val="Normal"/>
    <w:next w:val="Normal"/>
    <w:link w:val="Heading5Char"/>
    <w:uiPriority w:val="9"/>
    <w:semiHidden/>
    <w:unhideWhenUsed/>
    <w:qFormat/>
    <w:rsid w:val="009C78FB"/>
    <w:pPr>
      <w:keepNext/>
      <w:keepLines/>
      <w:numPr>
        <w:ilvl w:val="4"/>
        <w:numId w:val="17"/>
      </w:numPr>
      <w:suppressAutoHyphens/>
      <w:spacing w:before="200"/>
      <w:jc w:val="both"/>
      <w:outlineLvl w:val="4"/>
    </w:pPr>
    <w:rPr>
      <w:rFonts w:asciiTheme="majorHAnsi" w:eastAsiaTheme="majorEastAsia" w:hAnsiTheme="majorHAnsi" w:cstheme="majorBidi"/>
      <w:color w:val="243F60" w:themeColor="accent1" w:themeShade="7F"/>
      <w:kern w:val="1"/>
      <w:sz w:val="22"/>
      <w:lang w:eastAsia="ar-SA"/>
    </w:rPr>
  </w:style>
  <w:style w:type="paragraph" w:styleId="Heading6">
    <w:name w:val="heading 6"/>
    <w:basedOn w:val="Normal"/>
    <w:next w:val="Normal"/>
    <w:link w:val="Heading6Char"/>
    <w:uiPriority w:val="9"/>
    <w:semiHidden/>
    <w:unhideWhenUsed/>
    <w:qFormat/>
    <w:rsid w:val="009C78FB"/>
    <w:pPr>
      <w:keepNext/>
      <w:keepLines/>
      <w:numPr>
        <w:ilvl w:val="5"/>
        <w:numId w:val="17"/>
      </w:numPr>
      <w:suppressAutoHyphens/>
      <w:spacing w:before="200"/>
      <w:jc w:val="both"/>
      <w:outlineLvl w:val="5"/>
    </w:pPr>
    <w:rPr>
      <w:rFonts w:asciiTheme="majorHAnsi" w:eastAsiaTheme="majorEastAsia" w:hAnsiTheme="majorHAnsi" w:cstheme="majorBidi"/>
      <w:i/>
      <w:iCs/>
      <w:color w:val="243F60" w:themeColor="accent1" w:themeShade="7F"/>
      <w:kern w:val="1"/>
      <w:sz w:val="22"/>
      <w:lang w:eastAsia="ar-SA"/>
    </w:rPr>
  </w:style>
  <w:style w:type="paragraph" w:styleId="Heading7">
    <w:name w:val="heading 7"/>
    <w:basedOn w:val="Normal"/>
    <w:next w:val="Normal"/>
    <w:link w:val="Heading7Char"/>
    <w:uiPriority w:val="9"/>
    <w:semiHidden/>
    <w:unhideWhenUsed/>
    <w:qFormat/>
    <w:rsid w:val="009C78FB"/>
    <w:pPr>
      <w:keepNext/>
      <w:keepLines/>
      <w:numPr>
        <w:ilvl w:val="6"/>
        <w:numId w:val="17"/>
      </w:numPr>
      <w:suppressAutoHyphens/>
      <w:spacing w:before="200"/>
      <w:jc w:val="both"/>
      <w:outlineLvl w:val="6"/>
    </w:pPr>
    <w:rPr>
      <w:rFonts w:asciiTheme="majorHAnsi" w:eastAsiaTheme="majorEastAsia" w:hAnsiTheme="majorHAnsi" w:cstheme="majorBidi"/>
      <w:i/>
      <w:iCs/>
      <w:color w:val="404040" w:themeColor="text1" w:themeTint="BF"/>
      <w:kern w:val="1"/>
      <w:sz w:val="22"/>
      <w:lang w:eastAsia="ar-SA"/>
    </w:rPr>
  </w:style>
  <w:style w:type="paragraph" w:styleId="Heading8">
    <w:name w:val="heading 8"/>
    <w:basedOn w:val="Normal"/>
    <w:next w:val="Normal"/>
    <w:link w:val="Heading8Char"/>
    <w:uiPriority w:val="9"/>
    <w:semiHidden/>
    <w:unhideWhenUsed/>
    <w:qFormat/>
    <w:rsid w:val="009C78FB"/>
    <w:pPr>
      <w:keepNext/>
      <w:keepLines/>
      <w:numPr>
        <w:ilvl w:val="7"/>
        <w:numId w:val="17"/>
      </w:numPr>
      <w:suppressAutoHyphens/>
      <w:spacing w:before="200"/>
      <w:jc w:val="both"/>
      <w:outlineLvl w:val="7"/>
    </w:pPr>
    <w:rPr>
      <w:rFonts w:asciiTheme="majorHAnsi" w:eastAsiaTheme="majorEastAsia" w:hAnsiTheme="majorHAnsi" w:cstheme="majorBidi"/>
      <w:color w:val="404040" w:themeColor="text1" w:themeTint="BF"/>
      <w:kern w:val="1"/>
      <w:sz w:val="20"/>
      <w:szCs w:val="20"/>
      <w:lang w:eastAsia="ar-SA"/>
    </w:rPr>
  </w:style>
  <w:style w:type="paragraph" w:styleId="Heading9">
    <w:name w:val="heading 9"/>
    <w:basedOn w:val="Normal"/>
    <w:next w:val="Normal"/>
    <w:link w:val="Heading9Char"/>
    <w:uiPriority w:val="9"/>
    <w:semiHidden/>
    <w:unhideWhenUsed/>
    <w:qFormat/>
    <w:rsid w:val="009C78FB"/>
    <w:pPr>
      <w:keepNext/>
      <w:keepLines/>
      <w:numPr>
        <w:ilvl w:val="8"/>
        <w:numId w:val="17"/>
      </w:numPr>
      <w:suppressAutoHyphens/>
      <w:spacing w:before="200"/>
      <w:jc w:val="both"/>
      <w:outlineLvl w:val="8"/>
    </w:pPr>
    <w:rPr>
      <w:rFonts w:asciiTheme="majorHAnsi" w:eastAsiaTheme="majorEastAsia" w:hAnsiTheme="majorHAnsi" w:cstheme="majorBidi"/>
      <w:i/>
      <w:iCs/>
      <w:color w:val="404040" w:themeColor="text1" w:themeTint="BF"/>
      <w:kern w:val="1"/>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5">
    <w:name w:val="font5"/>
    <w:basedOn w:val="Normal"/>
    <w:rsid w:val="00375658"/>
    <w:pPr>
      <w:spacing w:before="100" w:beforeAutospacing="1" w:after="100" w:afterAutospacing="1"/>
      <w:jc w:val="both"/>
    </w:pPr>
    <w:rPr>
      <w:rFonts w:ascii="Arial" w:eastAsia="Arial Unicode MS" w:hAnsi="Arial"/>
      <w:b/>
      <w:bCs/>
      <w:lang w:val="en-GB"/>
    </w:rPr>
  </w:style>
  <w:style w:type="character" w:styleId="FootnoteReference">
    <w:name w:val="footnote reference"/>
    <w:aliases w:val="Footnote"/>
    <w:basedOn w:val="DefaultParagraphFont"/>
    <w:semiHidden/>
    <w:rsid w:val="00375658"/>
    <w:rPr>
      <w:vertAlign w:val="superscript"/>
    </w:rPr>
  </w:style>
  <w:style w:type="character" w:styleId="Hyperlink">
    <w:name w:val="Hyperlink"/>
    <w:basedOn w:val="DefaultParagraphFont"/>
    <w:rsid w:val="00375658"/>
    <w:rPr>
      <w:color w:val="0000FF"/>
      <w:u w:val="single"/>
    </w:rPr>
  </w:style>
  <w:style w:type="paragraph" w:customStyle="1" w:styleId="xl28">
    <w:name w:val="xl28"/>
    <w:basedOn w:val="Normal"/>
    <w:rsid w:val="00375658"/>
    <w:pPr>
      <w:pBdr>
        <w:left w:val="single" w:sz="4" w:space="0" w:color="auto"/>
      </w:pBdr>
      <w:spacing w:before="100" w:beforeAutospacing="1" w:after="100" w:afterAutospacing="1"/>
      <w:jc w:val="both"/>
    </w:pPr>
    <w:rPr>
      <w:rFonts w:ascii="Arial" w:eastAsia="Arial Unicode MS" w:hAnsi="Arial"/>
      <w:lang w:val="en-GB"/>
    </w:rPr>
  </w:style>
  <w:style w:type="paragraph" w:styleId="FootnoteText">
    <w:name w:val="footnote text"/>
    <w:aliases w:val="Char Char,Footnote Text Char1,Footnote Text Char Char1,Footnote Text Char Char Char,Char Char Char Char,Footnote Text Char1 Char,Footnote Text Char Char1 Char,Char Char Char1 Char, Char Char"/>
    <w:basedOn w:val="Normal"/>
    <w:link w:val="FootnoteTextChar"/>
    <w:rsid w:val="00375658"/>
    <w:rPr>
      <w:sz w:val="20"/>
      <w:szCs w:val="20"/>
    </w:rPr>
  </w:style>
  <w:style w:type="paragraph" w:styleId="BodyTextIndent">
    <w:name w:val="Body Text Indent"/>
    <w:basedOn w:val="Normal"/>
    <w:rsid w:val="00375658"/>
    <w:pPr>
      <w:spacing w:after="120"/>
      <w:ind w:left="283"/>
    </w:pPr>
  </w:style>
  <w:style w:type="paragraph" w:customStyle="1" w:styleId="CharCharChar1">
    <w:name w:val="Char Char Char1"/>
    <w:basedOn w:val="Normal"/>
    <w:rsid w:val="00375658"/>
    <w:pPr>
      <w:spacing w:after="160" w:line="240" w:lineRule="exact"/>
    </w:pPr>
    <w:rPr>
      <w:rFonts w:ascii="Tahoma" w:hAnsi="Tahoma"/>
      <w:sz w:val="20"/>
      <w:szCs w:val="20"/>
    </w:rPr>
  </w:style>
  <w:style w:type="paragraph" w:customStyle="1" w:styleId="Sous-titre1">
    <w:name w:val="Sous-titre 1"/>
    <w:basedOn w:val="Normal"/>
    <w:next w:val="Normal"/>
    <w:autoRedefine/>
    <w:rsid w:val="0014339D"/>
    <w:pPr>
      <w:numPr>
        <w:numId w:val="6"/>
      </w:numPr>
      <w:tabs>
        <w:tab w:val="left" w:pos="360"/>
        <w:tab w:val="left" w:pos="1418"/>
        <w:tab w:val="left" w:pos="1701"/>
        <w:tab w:val="left" w:pos="1985"/>
        <w:tab w:val="left" w:pos="2268"/>
        <w:tab w:val="left" w:pos="2552"/>
        <w:tab w:val="left" w:pos="3119"/>
        <w:tab w:val="left" w:pos="4253"/>
        <w:tab w:val="left" w:pos="5954"/>
        <w:tab w:val="left" w:pos="8222"/>
        <w:tab w:val="right" w:pos="11057"/>
      </w:tabs>
      <w:ind w:left="0" w:firstLine="0"/>
      <w:jc w:val="both"/>
    </w:pPr>
    <w:rPr>
      <w:rFonts w:ascii="Arial" w:hAnsi="Arial" w:cs="Arial"/>
      <w:b/>
      <w:color w:val="000000"/>
      <w:sz w:val="22"/>
      <w:szCs w:val="22"/>
      <w:lang w:val="fr-FR" w:eastAsia="en-GB"/>
    </w:rPr>
  </w:style>
  <w:style w:type="paragraph" w:styleId="Footer">
    <w:name w:val="footer"/>
    <w:basedOn w:val="Normal"/>
    <w:rsid w:val="00375658"/>
    <w:pPr>
      <w:tabs>
        <w:tab w:val="center" w:pos="4320"/>
        <w:tab w:val="right" w:pos="8640"/>
      </w:tabs>
    </w:pPr>
  </w:style>
  <w:style w:type="character" w:styleId="PageNumber">
    <w:name w:val="page number"/>
    <w:basedOn w:val="DefaultParagraphFont"/>
    <w:rsid w:val="00375658"/>
  </w:style>
  <w:style w:type="paragraph" w:customStyle="1" w:styleId="Car">
    <w:name w:val="Car"/>
    <w:basedOn w:val="Normal"/>
    <w:rsid w:val="0043174A"/>
    <w:pPr>
      <w:spacing w:after="160" w:line="240" w:lineRule="exact"/>
    </w:pPr>
    <w:rPr>
      <w:rFonts w:ascii="Tahoma" w:hAnsi="Tahoma"/>
      <w:sz w:val="20"/>
      <w:szCs w:val="20"/>
    </w:rPr>
  </w:style>
  <w:style w:type="paragraph" w:styleId="BodyText">
    <w:name w:val="Body Text"/>
    <w:basedOn w:val="Normal"/>
    <w:rsid w:val="00490DDF"/>
    <w:pPr>
      <w:spacing w:after="120"/>
    </w:pPr>
  </w:style>
  <w:style w:type="paragraph" w:styleId="BalloonText">
    <w:name w:val="Balloon Text"/>
    <w:basedOn w:val="Normal"/>
    <w:semiHidden/>
    <w:rsid w:val="00EB5659"/>
    <w:rPr>
      <w:rFonts w:ascii="Tahoma" w:hAnsi="Tahoma" w:cs="Tahoma"/>
      <w:sz w:val="16"/>
      <w:szCs w:val="16"/>
    </w:rPr>
  </w:style>
  <w:style w:type="paragraph" w:styleId="Header">
    <w:name w:val="header"/>
    <w:basedOn w:val="Normal"/>
    <w:rsid w:val="003C3DCD"/>
    <w:pPr>
      <w:tabs>
        <w:tab w:val="center" w:pos="4320"/>
        <w:tab w:val="right" w:pos="8640"/>
      </w:tabs>
    </w:pPr>
  </w:style>
  <w:style w:type="paragraph" w:customStyle="1" w:styleId="CarCar">
    <w:name w:val="Car Car"/>
    <w:basedOn w:val="Normal"/>
    <w:rsid w:val="00E0082D"/>
    <w:pPr>
      <w:spacing w:after="160" w:line="240" w:lineRule="exact"/>
    </w:pPr>
    <w:rPr>
      <w:rFonts w:ascii="Tahoma" w:hAnsi="Tahoma"/>
      <w:sz w:val="20"/>
      <w:szCs w:val="20"/>
    </w:rPr>
  </w:style>
  <w:style w:type="paragraph" w:customStyle="1" w:styleId="NBP">
    <w:name w:val="NBP"/>
    <w:basedOn w:val="FootnoteText"/>
    <w:qFormat/>
    <w:rsid w:val="009943D3"/>
    <w:pPr>
      <w:suppressAutoHyphens/>
      <w:jc w:val="both"/>
    </w:pPr>
    <w:rPr>
      <w:rFonts w:ascii="Arial" w:hAnsi="Arial" w:cs="Arial"/>
      <w:kern w:val="1"/>
      <w:sz w:val="18"/>
      <w:szCs w:val="18"/>
      <w:lang w:val="fr-LU" w:eastAsia="ar-SA"/>
    </w:rPr>
  </w:style>
  <w:style w:type="table" w:styleId="LightList-Accent4">
    <w:name w:val="Light List Accent 4"/>
    <w:basedOn w:val="TableNormal"/>
    <w:uiPriority w:val="61"/>
    <w:rsid w:val="009943D3"/>
    <w:rPr>
      <w:rFonts w:ascii="Times" w:hAnsi="Times"/>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1Char">
    <w:name w:val="Heading 1 Char"/>
    <w:basedOn w:val="DefaultParagraphFont"/>
    <w:link w:val="Heading1"/>
    <w:uiPriority w:val="9"/>
    <w:rsid w:val="009C78FB"/>
    <w:rPr>
      <w:rFonts w:ascii="Arial" w:eastAsiaTheme="majorEastAsia" w:hAnsi="Arial" w:cstheme="majorBidi"/>
      <w:b/>
      <w:bCs/>
      <w:kern w:val="1"/>
      <w:sz w:val="26"/>
      <w:szCs w:val="28"/>
      <w:lang w:val="en-US" w:eastAsia="ar-SA"/>
    </w:rPr>
  </w:style>
  <w:style w:type="character" w:customStyle="1" w:styleId="Heading2Char">
    <w:name w:val="Heading 2 Char"/>
    <w:basedOn w:val="DefaultParagraphFont"/>
    <w:link w:val="Heading2"/>
    <w:uiPriority w:val="9"/>
    <w:rsid w:val="009C78FB"/>
    <w:rPr>
      <w:rFonts w:ascii="Arial" w:eastAsiaTheme="majorEastAsia" w:hAnsi="Arial" w:cstheme="majorBidi"/>
      <w:b/>
      <w:bCs/>
      <w:kern w:val="1"/>
      <w:sz w:val="22"/>
      <w:szCs w:val="26"/>
      <w:lang w:val="en-US" w:eastAsia="ar-SA"/>
    </w:rPr>
  </w:style>
  <w:style w:type="character" w:customStyle="1" w:styleId="Heading3Char">
    <w:name w:val="Heading 3 Char"/>
    <w:basedOn w:val="DefaultParagraphFont"/>
    <w:link w:val="Heading3"/>
    <w:uiPriority w:val="9"/>
    <w:rsid w:val="009C78FB"/>
    <w:rPr>
      <w:rFonts w:asciiTheme="majorHAnsi" w:eastAsiaTheme="majorEastAsia" w:hAnsiTheme="majorHAnsi" w:cstheme="majorBidi"/>
      <w:b/>
      <w:bCs/>
      <w:color w:val="4F81BD" w:themeColor="accent1"/>
      <w:kern w:val="1"/>
      <w:sz w:val="22"/>
      <w:szCs w:val="24"/>
      <w:lang w:val="en-US" w:eastAsia="ar-SA"/>
    </w:rPr>
  </w:style>
  <w:style w:type="character" w:customStyle="1" w:styleId="Heading4Char">
    <w:name w:val="Heading 4 Char"/>
    <w:basedOn w:val="DefaultParagraphFont"/>
    <w:link w:val="Heading4"/>
    <w:uiPriority w:val="9"/>
    <w:semiHidden/>
    <w:rsid w:val="009C78FB"/>
    <w:rPr>
      <w:rFonts w:asciiTheme="majorHAnsi" w:eastAsiaTheme="majorEastAsia" w:hAnsiTheme="majorHAnsi" w:cstheme="majorBidi"/>
      <w:b/>
      <w:bCs/>
      <w:i/>
      <w:iCs/>
      <w:color w:val="4F81BD" w:themeColor="accent1"/>
      <w:kern w:val="1"/>
      <w:sz w:val="22"/>
      <w:szCs w:val="24"/>
      <w:lang w:val="en-US" w:eastAsia="ar-SA"/>
    </w:rPr>
  </w:style>
  <w:style w:type="character" w:customStyle="1" w:styleId="Heading5Char">
    <w:name w:val="Heading 5 Char"/>
    <w:basedOn w:val="DefaultParagraphFont"/>
    <w:link w:val="Heading5"/>
    <w:uiPriority w:val="9"/>
    <w:semiHidden/>
    <w:rsid w:val="009C78FB"/>
    <w:rPr>
      <w:rFonts w:asciiTheme="majorHAnsi" w:eastAsiaTheme="majorEastAsia" w:hAnsiTheme="majorHAnsi" w:cstheme="majorBidi"/>
      <w:color w:val="243F60" w:themeColor="accent1" w:themeShade="7F"/>
      <w:kern w:val="1"/>
      <w:sz w:val="22"/>
      <w:szCs w:val="24"/>
      <w:lang w:val="en-US" w:eastAsia="ar-SA"/>
    </w:rPr>
  </w:style>
  <w:style w:type="character" w:customStyle="1" w:styleId="Heading6Char">
    <w:name w:val="Heading 6 Char"/>
    <w:basedOn w:val="DefaultParagraphFont"/>
    <w:link w:val="Heading6"/>
    <w:uiPriority w:val="9"/>
    <w:semiHidden/>
    <w:rsid w:val="009C78FB"/>
    <w:rPr>
      <w:rFonts w:asciiTheme="majorHAnsi" w:eastAsiaTheme="majorEastAsia" w:hAnsiTheme="majorHAnsi" w:cstheme="majorBidi"/>
      <w:i/>
      <w:iCs/>
      <w:color w:val="243F60" w:themeColor="accent1" w:themeShade="7F"/>
      <w:kern w:val="1"/>
      <w:sz w:val="22"/>
      <w:szCs w:val="24"/>
      <w:lang w:val="en-US" w:eastAsia="ar-SA"/>
    </w:rPr>
  </w:style>
  <w:style w:type="character" w:customStyle="1" w:styleId="Heading7Char">
    <w:name w:val="Heading 7 Char"/>
    <w:basedOn w:val="DefaultParagraphFont"/>
    <w:link w:val="Heading7"/>
    <w:uiPriority w:val="9"/>
    <w:semiHidden/>
    <w:rsid w:val="009C78FB"/>
    <w:rPr>
      <w:rFonts w:asciiTheme="majorHAnsi" w:eastAsiaTheme="majorEastAsia" w:hAnsiTheme="majorHAnsi" w:cstheme="majorBidi"/>
      <w:i/>
      <w:iCs/>
      <w:color w:val="404040" w:themeColor="text1" w:themeTint="BF"/>
      <w:kern w:val="1"/>
      <w:sz w:val="22"/>
      <w:szCs w:val="24"/>
      <w:lang w:val="en-US" w:eastAsia="ar-SA"/>
    </w:rPr>
  </w:style>
  <w:style w:type="character" w:customStyle="1" w:styleId="Heading8Char">
    <w:name w:val="Heading 8 Char"/>
    <w:basedOn w:val="DefaultParagraphFont"/>
    <w:link w:val="Heading8"/>
    <w:uiPriority w:val="9"/>
    <w:semiHidden/>
    <w:rsid w:val="009C78FB"/>
    <w:rPr>
      <w:rFonts w:asciiTheme="majorHAnsi" w:eastAsiaTheme="majorEastAsia" w:hAnsiTheme="majorHAnsi" w:cstheme="majorBidi"/>
      <w:color w:val="404040" w:themeColor="text1" w:themeTint="BF"/>
      <w:kern w:val="1"/>
      <w:lang w:val="en-US" w:eastAsia="ar-SA"/>
    </w:rPr>
  </w:style>
  <w:style w:type="character" w:customStyle="1" w:styleId="Heading9Char">
    <w:name w:val="Heading 9 Char"/>
    <w:basedOn w:val="DefaultParagraphFont"/>
    <w:link w:val="Heading9"/>
    <w:uiPriority w:val="9"/>
    <w:semiHidden/>
    <w:rsid w:val="009C78FB"/>
    <w:rPr>
      <w:rFonts w:asciiTheme="majorHAnsi" w:eastAsiaTheme="majorEastAsia" w:hAnsiTheme="majorHAnsi" w:cstheme="majorBidi"/>
      <w:i/>
      <w:iCs/>
      <w:color w:val="404040" w:themeColor="text1" w:themeTint="BF"/>
      <w:kern w:val="1"/>
      <w:lang w:val="en-US" w:eastAsia="ar-SA"/>
    </w:rPr>
  </w:style>
  <w:style w:type="paragraph" w:styleId="ListParagraph">
    <w:name w:val="List Paragraph"/>
    <w:basedOn w:val="Normal"/>
    <w:uiPriority w:val="34"/>
    <w:qFormat/>
    <w:rsid w:val="00BF5EB9"/>
    <w:pPr>
      <w:ind w:left="720"/>
      <w:contextualSpacing/>
    </w:pPr>
  </w:style>
  <w:style w:type="paragraph" w:styleId="Caption">
    <w:name w:val="caption"/>
    <w:basedOn w:val="Normal"/>
    <w:next w:val="Normal"/>
    <w:unhideWhenUsed/>
    <w:qFormat/>
    <w:rsid w:val="0087354B"/>
    <w:pPr>
      <w:suppressAutoHyphens/>
      <w:jc w:val="both"/>
    </w:pPr>
    <w:rPr>
      <w:rFonts w:ascii="Arial" w:hAnsi="Arial" w:cs="Arial"/>
      <w:b/>
      <w:bCs/>
      <w:kern w:val="1"/>
      <w:sz w:val="22"/>
      <w:szCs w:val="18"/>
      <w:lang w:eastAsia="ar-SA"/>
    </w:rPr>
  </w:style>
  <w:style w:type="paragraph" w:customStyle="1" w:styleId="CC">
    <w:name w:val="CC"/>
    <w:basedOn w:val="Normal"/>
    <w:qFormat/>
    <w:rsid w:val="00A615FA"/>
    <w:pPr>
      <w:jc w:val="both"/>
    </w:pPr>
    <w:rPr>
      <w:rFonts w:ascii="Arial" w:hAnsi="Arial"/>
      <w:sz w:val="22"/>
      <w:lang w:val="fr-FR"/>
    </w:rPr>
  </w:style>
  <w:style w:type="character" w:customStyle="1" w:styleId="FootnoteTextChar">
    <w:name w:val="Footnote Text Char"/>
    <w:aliases w:val="Char Char Char,Footnote Text Char1 Char1,Footnote Text Char Char1 Char1,Footnote Text Char Char Char Char,Char Char Char Char Char,Footnote Text Char1 Char Char,Footnote Text Char Char1 Char Char,Char Char Char1 Char Char"/>
    <w:basedOn w:val="DefaultParagraphFont"/>
    <w:link w:val="FootnoteText"/>
    <w:rsid w:val="007334DA"/>
    <w:rPr>
      <w:lang w:val="en-US" w:eastAsia="en-US"/>
    </w:rPr>
  </w:style>
  <w:style w:type="paragraph" w:customStyle="1" w:styleId="CDCnormal">
    <w:name w:val="CDC normal"/>
    <w:basedOn w:val="Normal"/>
    <w:qFormat/>
    <w:rsid w:val="0015356E"/>
    <w:pPr>
      <w:suppressAutoHyphens/>
      <w:jc w:val="both"/>
    </w:pPr>
    <w:rPr>
      <w:rFonts w:ascii="Arial" w:hAnsi="Arial" w:cs="Arial"/>
      <w:kern w:val="1"/>
      <w:sz w:val="22"/>
      <w:szCs w:val="22"/>
      <w:lang w:val="fr-FR" w:eastAsia="ar-SA"/>
    </w:rPr>
  </w:style>
</w:styles>
</file>

<file path=word/webSettings.xml><?xml version="1.0" encoding="utf-8"?>
<w:webSettings xmlns:r="http://schemas.openxmlformats.org/officeDocument/2006/relationships" xmlns:w="http://schemas.openxmlformats.org/wordprocessingml/2006/main">
  <w:divs>
    <w:div w:id="341587029">
      <w:bodyDiv w:val="1"/>
      <w:marLeft w:val="0"/>
      <w:marRight w:val="0"/>
      <w:marTop w:val="0"/>
      <w:marBottom w:val="0"/>
      <w:divBdr>
        <w:top w:val="none" w:sz="0" w:space="0" w:color="auto"/>
        <w:left w:val="none" w:sz="0" w:space="0" w:color="auto"/>
        <w:bottom w:val="none" w:sz="0" w:space="0" w:color="auto"/>
        <w:right w:val="none" w:sz="0" w:space="0" w:color="auto"/>
      </w:divBdr>
      <w:divsChild>
        <w:div w:id="2045518674">
          <w:marLeft w:val="0"/>
          <w:marRight w:val="0"/>
          <w:marTop w:val="0"/>
          <w:marBottom w:val="0"/>
          <w:divBdr>
            <w:top w:val="none" w:sz="0" w:space="0" w:color="auto"/>
            <w:left w:val="none" w:sz="0" w:space="0" w:color="auto"/>
            <w:bottom w:val="none" w:sz="0" w:space="0" w:color="auto"/>
            <w:right w:val="none" w:sz="0" w:space="0" w:color="auto"/>
          </w:divBdr>
        </w:div>
      </w:divsChild>
    </w:div>
    <w:div w:id="484322337">
      <w:bodyDiv w:val="1"/>
      <w:marLeft w:val="0"/>
      <w:marRight w:val="0"/>
      <w:marTop w:val="0"/>
      <w:marBottom w:val="0"/>
      <w:divBdr>
        <w:top w:val="none" w:sz="0" w:space="0" w:color="auto"/>
        <w:left w:val="none" w:sz="0" w:space="0" w:color="auto"/>
        <w:bottom w:val="none" w:sz="0" w:space="0" w:color="auto"/>
        <w:right w:val="none" w:sz="0" w:space="0" w:color="auto"/>
      </w:divBdr>
      <w:divsChild>
        <w:div w:id="981735003">
          <w:marLeft w:val="0"/>
          <w:marRight w:val="0"/>
          <w:marTop w:val="0"/>
          <w:marBottom w:val="0"/>
          <w:divBdr>
            <w:top w:val="none" w:sz="0" w:space="0" w:color="auto"/>
            <w:left w:val="none" w:sz="0" w:space="0" w:color="auto"/>
            <w:bottom w:val="none" w:sz="0" w:space="0" w:color="auto"/>
            <w:right w:val="none" w:sz="0" w:space="0" w:color="auto"/>
          </w:divBdr>
        </w:div>
      </w:divsChild>
    </w:div>
    <w:div w:id="648021092">
      <w:bodyDiv w:val="1"/>
      <w:marLeft w:val="0"/>
      <w:marRight w:val="0"/>
      <w:marTop w:val="0"/>
      <w:marBottom w:val="0"/>
      <w:divBdr>
        <w:top w:val="none" w:sz="0" w:space="0" w:color="auto"/>
        <w:left w:val="none" w:sz="0" w:space="0" w:color="auto"/>
        <w:bottom w:val="none" w:sz="0" w:space="0" w:color="auto"/>
        <w:right w:val="none" w:sz="0" w:space="0" w:color="auto"/>
      </w:divBdr>
    </w:div>
    <w:div w:id="809202212">
      <w:bodyDiv w:val="1"/>
      <w:marLeft w:val="0"/>
      <w:marRight w:val="0"/>
      <w:marTop w:val="0"/>
      <w:marBottom w:val="0"/>
      <w:divBdr>
        <w:top w:val="none" w:sz="0" w:space="0" w:color="auto"/>
        <w:left w:val="none" w:sz="0" w:space="0" w:color="auto"/>
        <w:bottom w:val="none" w:sz="0" w:space="0" w:color="auto"/>
        <w:right w:val="none" w:sz="0" w:space="0" w:color="auto"/>
      </w:divBdr>
      <w:divsChild>
        <w:div w:id="1694763116">
          <w:marLeft w:val="0"/>
          <w:marRight w:val="0"/>
          <w:marTop w:val="0"/>
          <w:marBottom w:val="0"/>
          <w:divBdr>
            <w:top w:val="none" w:sz="0" w:space="0" w:color="auto"/>
            <w:left w:val="none" w:sz="0" w:space="0" w:color="auto"/>
            <w:bottom w:val="none" w:sz="0" w:space="0" w:color="auto"/>
            <w:right w:val="none" w:sz="0" w:space="0" w:color="auto"/>
          </w:divBdr>
        </w:div>
      </w:divsChild>
    </w:div>
    <w:div w:id="866144167">
      <w:bodyDiv w:val="1"/>
      <w:marLeft w:val="0"/>
      <w:marRight w:val="0"/>
      <w:marTop w:val="0"/>
      <w:marBottom w:val="0"/>
      <w:divBdr>
        <w:top w:val="none" w:sz="0" w:space="0" w:color="auto"/>
        <w:left w:val="none" w:sz="0" w:space="0" w:color="auto"/>
        <w:bottom w:val="none" w:sz="0" w:space="0" w:color="auto"/>
        <w:right w:val="none" w:sz="0" w:space="0" w:color="auto"/>
      </w:divBdr>
      <w:divsChild>
        <w:div w:id="49380762">
          <w:marLeft w:val="0"/>
          <w:marRight w:val="0"/>
          <w:marTop w:val="0"/>
          <w:marBottom w:val="0"/>
          <w:divBdr>
            <w:top w:val="none" w:sz="0" w:space="0" w:color="auto"/>
            <w:left w:val="none" w:sz="0" w:space="0" w:color="auto"/>
            <w:bottom w:val="none" w:sz="0" w:space="0" w:color="auto"/>
            <w:right w:val="none" w:sz="0" w:space="0" w:color="auto"/>
          </w:divBdr>
        </w:div>
      </w:divsChild>
    </w:div>
    <w:div w:id="1195928127">
      <w:bodyDiv w:val="1"/>
      <w:marLeft w:val="0"/>
      <w:marRight w:val="0"/>
      <w:marTop w:val="0"/>
      <w:marBottom w:val="0"/>
      <w:divBdr>
        <w:top w:val="none" w:sz="0" w:space="0" w:color="auto"/>
        <w:left w:val="none" w:sz="0" w:space="0" w:color="auto"/>
        <w:bottom w:val="none" w:sz="0" w:space="0" w:color="auto"/>
        <w:right w:val="none" w:sz="0" w:space="0" w:color="auto"/>
      </w:divBdr>
      <w:divsChild>
        <w:div w:id="1390887399">
          <w:marLeft w:val="0"/>
          <w:marRight w:val="0"/>
          <w:marTop w:val="0"/>
          <w:marBottom w:val="0"/>
          <w:divBdr>
            <w:top w:val="none" w:sz="0" w:space="0" w:color="auto"/>
            <w:left w:val="none" w:sz="0" w:space="0" w:color="auto"/>
            <w:bottom w:val="none" w:sz="0" w:space="0" w:color="auto"/>
            <w:right w:val="none" w:sz="0" w:space="0" w:color="auto"/>
          </w:divBdr>
        </w:div>
      </w:divsChild>
    </w:div>
    <w:div w:id="1399404421">
      <w:bodyDiv w:val="1"/>
      <w:marLeft w:val="0"/>
      <w:marRight w:val="0"/>
      <w:marTop w:val="0"/>
      <w:marBottom w:val="0"/>
      <w:divBdr>
        <w:top w:val="none" w:sz="0" w:space="0" w:color="auto"/>
        <w:left w:val="none" w:sz="0" w:space="0" w:color="auto"/>
        <w:bottom w:val="none" w:sz="0" w:space="0" w:color="auto"/>
        <w:right w:val="none" w:sz="0" w:space="0" w:color="auto"/>
      </w:divBdr>
      <w:divsChild>
        <w:div w:id="1235554898">
          <w:marLeft w:val="0"/>
          <w:marRight w:val="0"/>
          <w:marTop w:val="0"/>
          <w:marBottom w:val="0"/>
          <w:divBdr>
            <w:top w:val="none" w:sz="0" w:space="0" w:color="auto"/>
            <w:left w:val="none" w:sz="0" w:space="0" w:color="auto"/>
            <w:bottom w:val="none" w:sz="0" w:space="0" w:color="auto"/>
            <w:right w:val="none" w:sz="0" w:space="0" w:color="auto"/>
          </w:divBdr>
        </w:div>
      </w:divsChild>
    </w:div>
    <w:div w:id="1753893134">
      <w:bodyDiv w:val="1"/>
      <w:marLeft w:val="0"/>
      <w:marRight w:val="0"/>
      <w:marTop w:val="0"/>
      <w:marBottom w:val="0"/>
      <w:divBdr>
        <w:top w:val="none" w:sz="0" w:space="0" w:color="auto"/>
        <w:left w:val="none" w:sz="0" w:space="0" w:color="auto"/>
        <w:bottom w:val="none" w:sz="0" w:space="0" w:color="auto"/>
        <w:right w:val="none" w:sz="0" w:space="0" w:color="auto"/>
      </w:divBdr>
    </w:div>
    <w:div w:id="1995327871">
      <w:bodyDiv w:val="1"/>
      <w:marLeft w:val="0"/>
      <w:marRight w:val="0"/>
      <w:marTop w:val="0"/>
      <w:marBottom w:val="0"/>
      <w:divBdr>
        <w:top w:val="none" w:sz="0" w:space="0" w:color="auto"/>
        <w:left w:val="none" w:sz="0" w:space="0" w:color="auto"/>
        <w:bottom w:val="none" w:sz="0" w:space="0" w:color="auto"/>
        <w:right w:val="none" w:sz="0" w:space="0" w:color="auto"/>
      </w:divBdr>
      <w:divsChild>
        <w:div w:id="1379622178">
          <w:marLeft w:val="0"/>
          <w:marRight w:val="0"/>
          <w:marTop w:val="0"/>
          <w:marBottom w:val="0"/>
          <w:divBdr>
            <w:top w:val="none" w:sz="0" w:space="0" w:color="auto"/>
            <w:left w:val="none" w:sz="0" w:space="0" w:color="auto"/>
            <w:bottom w:val="none" w:sz="0" w:space="0" w:color="auto"/>
            <w:right w:val="none" w:sz="0" w:space="0" w:color="auto"/>
          </w:divBdr>
        </w:div>
      </w:divsChild>
    </w:div>
    <w:div w:id="2115202242">
      <w:bodyDiv w:val="1"/>
      <w:marLeft w:val="0"/>
      <w:marRight w:val="0"/>
      <w:marTop w:val="0"/>
      <w:marBottom w:val="0"/>
      <w:divBdr>
        <w:top w:val="none" w:sz="0" w:space="0" w:color="auto"/>
        <w:left w:val="none" w:sz="0" w:space="0" w:color="auto"/>
        <w:bottom w:val="none" w:sz="0" w:space="0" w:color="auto"/>
        <w:right w:val="none" w:sz="0" w:space="0" w:color="auto"/>
      </w:divBdr>
      <w:divsChild>
        <w:div w:id="33428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eurochambres.eu" TargetMode="External"/><Relationship Id="rId2" Type="http://schemas.openxmlformats.org/officeDocument/2006/relationships/numbering" Target="numbering.xml"/><Relationship Id="rId16" Type="http://schemas.openxmlformats.org/officeDocument/2006/relationships/hyperlink" Target="http://www.cc.l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mailto:eco@cc.lu"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F8267-E5CD-4ED2-9B97-04A92BBB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4322</Words>
  <Characters>24694</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Chambre de Commerce</Company>
  <LinksUpToDate>false</LinksUpToDate>
  <CharactersWithSpaces>28959</CharactersWithSpaces>
  <SharedDoc>false</SharedDoc>
  <HLinks>
    <vt:vector size="18" baseType="variant">
      <vt:variant>
        <vt:i4>5242982</vt:i4>
      </vt:variant>
      <vt:variant>
        <vt:i4>9</vt:i4>
      </vt:variant>
      <vt:variant>
        <vt:i4>0</vt:i4>
      </vt:variant>
      <vt:variant>
        <vt:i4>5</vt:i4>
      </vt:variant>
      <vt:variant>
        <vt:lpwstr>mailto:eco@cc.lu</vt:lpwstr>
      </vt:variant>
      <vt:variant>
        <vt:lpwstr/>
      </vt:variant>
      <vt:variant>
        <vt:i4>6422571</vt:i4>
      </vt:variant>
      <vt:variant>
        <vt:i4>6</vt:i4>
      </vt:variant>
      <vt:variant>
        <vt:i4>0</vt:i4>
      </vt:variant>
      <vt:variant>
        <vt:i4>5</vt:i4>
      </vt:variant>
      <vt:variant>
        <vt:lpwstr>http://www.eurochambres.eu/</vt:lpwstr>
      </vt:variant>
      <vt:variant>
        <vt:lpwstr/>
      </vt:variant>
      <vt:variant>
        <vt:i4>1245279</vt:i4>
      </vt:variant>
      <vt:variant>
        <vt:i4>3</vt:i4>
      </vt:variant>
      <vt:variant>
        <vt:i4>0</vt:i4>
      </vt:variant>
      <vt:variant>
        <vt:i4>5</vt:i4>
      </vt:variant>
      <vt:variant>
        <vt:lpwstr>http://www.cc.lu/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dc:creator>
  <cp:lastModifiedBy>mvi</cp:lastModifiedBy>
  <cp:revision>2</cp:revision>
  <cp:lastPrinted>2010-12-06T16:27:00Z</cp:lastPrinted>
  <dcterms:created xsi:type="dcterms:W3CDTF">2011-09-13T13:13:00Z</dcterms:created>
  <dcterms:modified xsi:type="dcterms:W3CDTF">2011-09-13T13:13:00Z</dcterms:modified>
</cp:coreProperties>
</file>