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6C" w:rsidRDefault="00BB166C" w:rsidP="000E01B8">
      <w:pPr>
        <w:pStyle w:val="Titreobjet"/>
        <w:spacing w:before="1080" w:after="120" w:line="240" w:lineRule="auto"/>
        <w:rPr>
          <w:sz w:val="32"/>
          <w:szCs w:val="32"/>
        </w:rPr>
      </w:pPr>
      <w:r>
        <w:rPr>
          <w:sz w:val="32"/>
          <w:szCs w:val="32"/>
        </w:rPr>
        <w:t>P</w:t>
      </w:r>
      <w:r w:rsidRPr="000C342D">
        <w:rPr>
          <w:sz w:val="32"/>
          <w:szCs w:val="32"/>
        </w:rPr>
        <w:t>rojet de loi</w:t>
      </w:r>
    </w:p>
    <w:p w:rsidR="00BB166C" w:rsidRPr="000C342D" w:rsidRDefault="00BB166C" w:rsidP="000E01B8">
      <w:pPr>
        <w:pStyle w:val="Titreobjet"/>
        <w:spacing w:after="120" w:line="240" w:lineRule="auto"/>
        <w:rPr>
          <w:sz w:val="32"/>
          <w:szCs w:val="32"/>
        </w:rPr>
      </w:pPr>
      <w:r>
        <w:rPr>
          <w:sz w:val="32"/>
          <w:szCs w:val="32"/>
        </w:rPr>
        <w:t xml:space="preserve">relatif à la sécurité des jouets portant transposition de la directive 2009/48/CE  du Parlement européen et du Conseil du </w:t>
      </w:r>
      <w:smartTag w:uri="urn:schemas-microsoft-com:office:smarttags" w:element="date">
        <w:smartTagPr>
          <w:attr w:name="Year" w:val="2009"/>
          <w:attr w:name="Day" w:val="18"/>
          <w:attr w:name="Month" w:val="6"/>
          <w:attr w:name="ls" w:val="trans"/>
        </w:smartTagPr>
        <w:r>
          <w:rPr>
            <w:sz w:val="32"/>
            <w:szCs w:val="32"/>
          </w:rPr>
          <w:t>18 juin 2009</w:t>
        </w:r>
      </w:smartTag>
      <w:r>
        <w:rPr>
          <w:sz w:val="32"/>
          <w:szCs w:val="32"/>
        </w:rPr>
        <w:t xml:space="preserve"> </w:t>
      </w:r>
      <w:r w:rsidRPr="000C342D">
        <w:rPr>
          <w:sz w:val="32"/>
          <w:szCs w:val="32"/>
        </w:rPr>
        <w:t>relati</w:t>
      </w:r>
      <w:r>
        <w:rPr>
          <w:sz w:val="32"/>
          <w:szCs w:val="32"/>
        </w:rPr>
        <w:t>ve</w:t>
      </w:r>
      <w:r w:rsidRPr="000C342D">
        <w:rPr>
          <w:sz w:val="32"/>
          <w:szCs w:val="32"/>
        </w:rPr>
        <w:t xml:space="preserve"> à la sécurité des jouets</w:t>
      </w:r>
    </w:p>
    <w:p w:rsidR="00BB166C" w:rsidRPr="000C342D" w:rsidRDefault="00BB166C" w:rsidP="000E01B8">
      <w:pPr>
        <w:spacing w:before="0" w:line="240" w:lineRule="auto"/>
        <w:jc w:val="center"/>
        <w:rPr>
          <w:b/>
          <w:sz w:val="32"/>
          <w:szCs w:val="32"/>
        </w:rPr>
      </w:pPr>
      <w:r w:rsidRPr="000C342D">
        <w:br w:type="page"/>
      </w:r>
      <w:r w:rsidRPr="000C342D">
        <w:rPr>
          <w:b/>
          <w:sz w:val="32"/>
          <w:szCs w:val="32"/>
        </w:rPr>
        <w:t>Exposé des motifs</w:t>
      </w:r>
    </w:p>
    <w:p w:rsidR="00BB166C" w:rsidRPr="000C342D" w:rsidRDefault="00BB166C" w:rsidP="000E01B8">
      <w:pPr>
        <w:autoSpaceDE w:val="0"/>
        <w:autoSpaceDN w:val="0"/>
        <w:adjustRightInd w:val="0"/>
        <w:spacing w:before="0" w:line="240" w:lineRule="auto"/>
        <w:ind w:firstLine="567"/>
        <w:jc w:val="both"/>
      </w:pPr>
      <w:r w:rsidRPr="000C342D">
        <w:t xml:space="preserve">Le règlement grand-ducal du </w:t>
      </w:r>
      <w:smartTag w:uri="urn:schemas-microsoft-com:office:smarttags" w:element="date">
        <w:smartTagPr>
          <w:attr w:name="Year" w:val="1992"/>
          <w:attr w:name="Day" w:val="3"/>
          <w:attr w:name="Month" w:val="2"/>
          <w:attr w:name="ls" w:val="trans"/>
        </w:smartTagPr>
        <w:r w:rsidRPr="000C342D">
          <w:t>3 février 1992</w:t>
        </w:r>
      </w:smartTag>
      <w:r w:rsidRPr="000C342D">
        <w:t xml:space="preserve"> relatif à la sécurité des jouet, modifié par le règlement grand-ducal du </w:t>
      </w:r>
      <w:smartTag w:uri="urn:schemas-microsoft-com:office:smarttags" w:element="date">
        <w:smartTagPr>
          <w:attr w:name="Year" w:val="1995"/>
          <w:attr w:name="Day" w:val="28"/>
          <w:attr w:name="Month" w:val="3"/>
          <w:attr w:name="ls" w:val="trans"/>
        </w:smartTagPr>
        <w:r w:rsidRPr="000C342D">
          <w:t xml:space="preserve">28 mars </w:t>
        </w:r>
        <w:smartTag w:uri="urn:schemas-microsoft-com:office:smarttags" w:element="metricconverter">
          <w:smartTagPr>
            <w:attr w:name="ProductID" w:val="1995 a"/>
          </w:smartTagPr>
          <w:r w:rsidRPr="000C342D">
            <w:t>1995</w:t>
          </w:r>
        </w:smartTag>
      </w:smartTag>
      <w:r w:rsidRPr="000C342D">
        <w:t xml:space="preserve"> a transposé la directive 88/378/CEE du Conseil du </w:t>
      </w:r>
      <w:smartTag w:uri="urn:schemas-microsoft-com:office:smarttags" w:element="date">
        <w:smartTagPr>
          <w:attr w:name="Year" w:val="1988"/>
          <w:attr w:name="Day" w:val="3"/>
          <w:attr w:name="Month" w:val="5"/>
          <w:attr w:name="ls" w:val="trans"/>
        </w:smartTagPr>
        <w:r w:rsidRPr="000C342D">
          <w:t>3 mai 1988</w:t>
        </w:r>
      </w:smartTag>
      <w:r w:rsidRPr="000C342D">
        <w:t xml:space="preserve"> concernant le rapprochement des législations des États membres relatives à la sécurité des jouets</w:t>
      </w:r>
      <w:r>
        <w:t xml:space="preserve">. Cette directive </w:t>
      </w:r>
      <w:r w:rsidRPr="000C342D">
        <w:t>a été adoptée dans le cadre de la mise en place du marché intérieur, dans le but d'harmoniser les niveaux de sécurité des jouets dans tous les États membres et d'éliminer les obstacles aux échanges de jouets entre les États membres.</w:t>
      </w:r>
    </w:p>
    <w:p w:rsidR="00BB166C" w:rsidRPr="000C342D" w:rsidRDefault="00BB166C" w:rsidP="000E01B8">
      <w:pPr>
        <w:autoSpaceDE w:val="0"/>
        <w:autoSpaceDN w:val="0"/>
        <w:adjustRightInd w:val="0"/>
        <w:spacing w:before="0" w:line="240" w:lineRule="auto"/>
        <w:ind w:firstLine="567"/>
        <w:jc w:val="both"/>
      </w:pPr>
      <w:r w:rsidRPr="000C342D">
        <w:t xml:space="preserve">Les progrès technologiques intervenus sur le marché du jouet ont posé de nouveaux problèmes en matière de sécurité et ont accru les préoccupations des consommateurs en </w:t>
      </w:r>
      <w:smartTag w:uri="urn:schemas-microsoft-com:office:smarttags" w:element="PersonName">
        <w:smartTagPr>
          <w:attr w:name="ProductID" w:val="la mati￨re. Afin"/>
        </w:smartTagPr>
        <w:r w:rsidRPr="000C342D">
          <w:t>la matière. Afin</w:t>
        </w:r>
      </w:smartTag>
      <w:r w:rsidRPr="000C342D">
        <w:t xml:space="preserve"> de tenir compte de ces progrès et d'apporter des précisions concernant le cadre réglementaire applicable à la commercialisation des jouets, une nouvelle directive relative à la sécurité des jouets a été élaborée</w:t>
      </w:r>
      <w:r>
        <w:t>,</w:t>
      </w:r>
      <w:r w:rsidRPr="000C342D">
        <w:t xml:space="preserve"> destinée à remplacer la directive 88/378/CEE.</w:t>
      </w:r>
    </w:p>
    <w:p w:rsidR="00BB166C" w:rsidRPr="000C342D" w:rsidRDefault="00BB166C" w:rsidP="000E01B8">
      <w:pPr>
        <w:autoSpaceDE w:val="0"/>
        <w:autoSpaceDN w:val="0"/>
        <w:adjustRightInd w:val="0"/>
        <w:spacing w:before="0" w:line="240" w:lineRule="auto"/>
        <w:ind w:firstLine="567"/>
        <w:jc w:val="both"/>
      </w:pPr>
      <w:r w:rsidRPr="000C342D">
        <w:t xml:space="preserve">Le présent projet de loi est donc destiné à remplacer le règlement grand-ducal du </w:t>
      </w:r>
      <w:smartTag w:uri="urn:schemas-microsoft-com:office:smarttags" w:element="date">
        <w:smartTagPr>
          <w:attr w:name="ls" w:val="trans"/>
          <w:attr w:name="Month" w:val="2"/>
          <w:attr w:name="Day" w:val="3"/>
          <w:attr w:name="Year" w:val="1992"/>
        </w:smartTagPr>
        <w:r w:rsidRPr="000C342D">
          <w:t>3 février 1992</w:t>
        </w:r>
      </w:smartTag>
      <w:r w:rsidRPr="000C342D">
        <w:t xml:space="preserve">. Le Gouvernement a décidé de </w:t>
      </w:r>
      <w:r>
        <w:t>transposer</w:t>
      </w:r>
      <w:r w:rsidRPr="000C342D">
        <w:t xml:space="preserve"> la directive</w:t>
      </w:r>
      <w:r>
        <w:t xml:space="preserve"> </w:t>
      </w:r>
      <w:r w:rsidRPr="00BB0CF3">
        <w:t xml:space="preserve">2009/48/CE  du </w:t>
      </w:r>
      <w:smartTag w:uri="urn:schemas-microsoft-com:office:smarttags" w:element="date">
        <w:smartTagPr>
          <w:attr w:name="ls" w:val="trans"/>
          <w:attr w:name="Month" w:val="6"/>
          <w:attr w:name="Day" w:val="18"/>
          <w:attr w:name="Year" w:val="2009"/>
        </w:smartTagPr>
        <w:r w:rsidRPr="00BB0CF3">
          <w:t>18 juin 2009</w:t>
        </w:r>
      </w:smartTag>
      <w:r w:rsidRPr="00BB0CF3">
        <w:t xml:space="preserve"> relative à la sécurité des jouets</w:t>
      </w:r>
      <w:r w:rsidRPr="000C342D">
        <w:t xml:space="preserve">  par une loi, et non par un règlement grand-ducal comme dans le passé, afin de tenir compte des recommandations du Conseil d’Etat lors de la transposition d’autres directives « Nouvelle approche ».</w:t>
      </w:r>
    </w:p>
    <w:p w:rsidR="00BB166C" w:rsidRPr="000C342D" w:rsidRDefault="00BB166C" w:rsidP="000E01B8">
      <w:pPr>
        <w:autoSpaceDE w:val="0"/>
        <w:autoSpaceDN w:val="0"/>
        <w:adjustRightInd w:val="0"/>
        <w:spacing w:before="0" w:line="240" w:lineRule="auto"/>
        <w:ind w:firstLine="567"/>
        <w:jc w:val="both"/>
      </w:pPr>
      <w:r w:rsidRPr="000C342D">
        <w:t>Les jouets relèvent également de la loi du 31 juillet 2006 relative à la sécurité générale des produits qui transpose la directive 2001/95/CE du Parlement européen et du Conseil du 3 décembre 2001 relative à la sécurité générale des produits, qui complète la législation sectorielle spécifique.</w:t>
      </w:r>
    </w:p>
    <w:p w:rsidR="00BB166C" w:rsidRPr="000C342D" w:rsidRDefault="00BB166C" w:rsidP="000E01B8">
      <w:pPr>
        <w:autoSpaceDE w:val="0"/>
        <w:autoSpaceDN w:val="0"/>
        <w:adjustRightInd w:val="0"/>
        <w:spacing w:before="0" w:line="240" w:lineRule="auto"/>
        <w:ind w:firstLine="567"/>
        <w:jc w:val="both"/>
      </w:pPr>
      <w:r w:rsidRPr="000C342D">
        <w:t xml:space="preserve">Le règlement (CE) n° 765/2008 du Parlement européen et du Conseil du 9 juillet 2008 fixant les prescriptions relatives à l'accréditation et à la surveillance du marché pour la commercialisation des produits comporte des dispositions horizontales relatives à l'accréditation des organismes d'évaluation de la conformité, au marquage CE et au cadre de surveillance du marché communautaire ainsi qu'au contrôle des produits entrant sur le marché de </w:t>
      </w:r>
      <w:smartTag w:uri="urn:schemas-microsoft-com:office:smarttags" w:element="PersonName">
        <w:smartTagPr>
          <w:attr w:name="ProductID" w:val="la Communaut￩"/>
        </w:smartTagPr>
        <w:r w:rsidRPr="000C342D">
          <w:t>la Communauté</w:t>
        </w:r>
      </w:smartTag>
      <w:r w:rsidRPr="000C342D">
        <w:t>, lesquelles sont également applicables au secteur des jouets.</w:t>
      </w:r>
    </w:p>
    <w:p w:rsidR="00BB166C" w:rsidRPr="000C342D" w:rsidRDefault="00BB166C" w:rsidP="000E01B8">
      <w:pPr>
        <w:autoSpaceDE w:val="0"/>
        <w:autoSpaceDN w:val="0"/>
        <w:adjustRightInd w:val="0"/>
        <w:spacing w:before="0" w:line="240" w:lineRule="auto"/>
        <w:ind w:firstLine="567"/>
        <w:jc w:val="both"/>
      </w:pPr>
      <w:r w:rsidRPr="000C342D">
        <w:t>Le présent projet de loi a pour objectif, entre autres :</w:t>
      </w:r>
    </w:p>
    <w:p w:rsidR="00BB166C" w:rsidRPr="000C342D" w:rsidRDefault="00BB166C" w:rsidP="000E01B8">
      <w:pPr>
        <w:numPr>
          <w:ilvl w:val="0"/>
          <w:numId w:val="48"/>
        </w:numPr>
        <w:autoSpaceDE w:val="0"/>
        <w:autoSpaceDN w:val="0"/>
        <w:adjustRightInd w:val="0"/>
        <w:spacing w:before="0" w:line="240" w:lineRule="auto"/>
        <w:jc w:val="both"/>
      </w:pPr>
      <w:r w:rsidRPr="000C342D">
        <w:t>D’assurer la traçabilité d'un jouet tout au long de la chaîne d'approvisionnement afin de simplifier la surveillance du marché et à la rendre plus efficace ;</w:t>
      </w:r>
    </w:p>
    <w:p w:rsidR="00BB166C" w:rsidRPr="000C342D" w:rsidRDefault="00BB166C" w:rsidP="000E01B8">
      <w:pPr>
        <w:numPr>
          <w:ilvl w:val="0"/>
          <w:numId w:val="48"/>
        </w:numPr>
        <w:autoSpaceDE w:val="0"/>
        <w:autoSpaceDN w:val="0"/>
        <w:adjustRightInd w:val="0"/>
        <w:spacing w:before="0" w:line="240" w:lineRule="auto"/>
        <w:jc w:val="both"/>
      </w:pPr>
      <w:r w:rsidRPr="000C342D">
        <w:t>De prévoir une répartition claire et proportionnée des obligations correspondant au rôle de chaque opérateur économique dans le processus d'approvisionnement et de distribution ;</w:t>
      </w:r>
    </w:p>
    <w:p w:rsidR="00BB166C" w:rsidRPr="000C342D" w:rsidRDefault="00BB166C" w:rsidP="000E01B8">
      <w:pPr>
        <w:numPr>
          <w:ilvl w:val="0"/>
          <w:numId w:val="48"/>
        </w:numPr>
        <w:autoSpaceDE w:val="0"/>
        <w:autoSpaceDN w:val="0"/>
        <w:adjustRightInd w:val="0"/>
        <w:spacing w:before="0" w:line="240" w:lineRule="auto"/>
        <w:jc w:val="both"/>
      </w:pPr>
      <w:r w:rsidRPr="000C342D">
        <w:t>D’actualiser les exigences essentielles de sécurité afin de tenir compte de l'évolution technologique depuis l'adoption de la directive 88/378/CEE ;</w:t>
      </w:r>
    </w:p>
    <w:p w:rsidR="00BB166C" w:rsidRPr="000C342D" w:rsidRDefault="00BB166C" w:rsidP="000E01B8">
      <w:pPr>
        <w:numPr>
          <w:ilvl w:val="0"/>
          <w:numId w:val="48"/>
        </w:numPr>
        <w:autoSpaceDE w:val="0"/>
        <w:autoSpaceDN w:val="0"/>
        <w:adjustRightInd w:val="0"/>
        <w:spacing w:before="0" w:line="240" w:lineRule="auto"/>
        <w:jc w:val="both"/>
      </w:pPr>
      <w:r w:rsidRPr="000C342D">
        <w:t xml:space="preserve">D’améliorer les exigences essentielles de sécurité, afin d'assurer un niveau élevé de protection des enfants contre les </w:t>
      </w:r>
      <w:r>
        <w:t>danger</w:t>
      </w:r>
      <w:r w:rsidRPr="000C342D">
        <w:t>s causés par les substances chimiques présentes dans les jouets ;</w:t>
      </w:r>
    </w:p>
    <w:p w:rsidR="00BB166C" w:rsidRPr="000C342D" w:rsidRDefault="00BB166C" w:rsidP="000E01B8">
      <w:pPr>
        <w:numPr>
          <w:ilvl w:val="0"/>
          <w:numId w:val="48"/>
        </w:numPr>
        <w:autoSpaceDE w:val="0"/>
        <w:autoSpaceDN w:val="0"/>
        <w:adjustRightInd w:val="0"/>
        <w:spacing w:before="0" w:line="240" w:lineRule="auto"/>
        <w:jc w:val="both"/>
      </w:pPr>
      <w:r w:rsidRPr="000C342D">
        <w:t>De fixer les valeurs limites spécifiques pour certaines substances chimiques afin de tenir compte de l'évolution des connaissances scientifiques ;</w:t>
      </w:r>
    </w:p>
    <w:p w:rsidR="00BB166C" w:rsidRPr="000C342D" w:rsidRDefault="00BB166C" w:rsidP="000E01B8">
      <w:pPr>
        <w:numPr>
          <w:ilvl w:val="0"/>
          <w:numId w:val="48"/>
        </w:numPr>
        <w:autoSpaceDE w:val="0"/>
        <w:autoSpaceDN w:val="0"/>
        <w:adjustRightInd w:val="0"/>
        <w:spacing w:before="0" w:line="240" w:lineRule="auto"/>
        <w:jc w:val="both"/>
      </w:pPr>
      <w:r w:rsidRPr="000C342D">
        <w:t xml:space="preserve">De protéger les enfants du </w:t>
      </w:r>
      <w:r>
        <w:t>danger</w:t>
      </w:r>
      <w:r w:rsidRPr="000C342D">
        <w:t xml:space="preserve"> d'atteinte auditive causée par les jouets émettant des sons.</w:t>
      </w:r>
    </w:p>
    <w:p w:rsidR="00BB166C" w:rsidRPr="000C342D" w:rsidRDefault="00BB166C" w:rsidP="000E01B8">
      <w:pPr>
        <w:autoSpaceDE w:val="0"/>
        <w:autoSpaceDN w:val="0"/>
        <w:adjustRightInd w:val="0"/>
        <w:spacing w:before="0" w:line="240" w:lineRule="auto"/>
        <w:ind w:firstLine="567"/>
        <w:jc w:val="both"/>
      </w:pPr>
      <w:r w:rsidRPr="000C342D">
        <w:t>Le marquage "CE", qui indique la conformité d'un jouet, est le résultat visible de tout un processus englobant l'évaluation de conformité au sens large. Le règlement (CE) n° 765/2008 fixe les principes généraux régissant le marquage "CE". Les règles régissant l'apposition du marquage CE sont fixées par le présent projet de loi.</w:t>
      </w:r>
    </w:p>
    <w:p w:rsidR="00BB166C" w:rsidRPr="000C342D" w:rsidRDefault="00BB166C" w:rsidP="000E01B8">
      <w:pPr>
        <w:pStyle w:val="ManualConsidrant"/>
        <w:spacing w:before="0" w:line="240" w:lineRule="auto"/>
        <w:ind w:left="0" w:firstLine="0"/>
        <w:jc w:val="both"/>
      </w:pPr>
      <w:r w:rsidRPr="000C342D">
        <w:t>Afin d'assurer un niveau de qualité homogène dans l'exécution des évaluations de la conformité de jouets, le présent projet de loi consolide les exigences auxquelles doivent satisfaire les organismes d'évaluation de la conformité souhaitant être notifiés.</w:t>
      </w:r>
    </w:p>
    <w:p w:rsidR="00BB166C" w:rsidRDefault="00BB166C" w:rsidP="000E01B8">
      <w:pPr>
        <w:pStyle w:val="ManualConsidrant"/>
        <w:spacing w:before="0" w:line="240" w:lineRule="auto"/>
        <w:ind w:left="0" w:firstLine="0"/>
        <w:jc w:val="both"/>
      </w:pPr>
      <w:r w:rsidRPr="000C342D">
        <w:t>Le présent projet tient également à adapter la législation sur la sécurité des jouets aux dispositions de la loi du 2008 relative à la création d’un Institut luxembourgeois de la normalisation, de l’accréditation, de la sécurité et qualité des produits et services</w:t>
      </w:r>
      <w:r>
        <w:t>.</w:t>
      </w:r>
    </w:p>
    <w:p w:rsidR="00BB166C" w:rsidRPr="000C342D" w:rsidRDefault="00BB166C" w:rsidP="000E01B8">
      <w:pPr>
        <w:pStyle w:val="ManualConsidrant"/>
        <w:spacing w:before="0" w:line="240" w:lineRule="auto"/>
        <w:ind w:left="0" w:firstLine="0"/>
        <w:jc w:val="both"/>
      </w:pPr>
    </w:p>
    <w:p w:rsidR="00BB166C" w:rsidRPr="000C342D" w:rsidRDefault="00BB166C" w:rsidP="000E01B8">
      <w:pPr>
        <w:pStyle w:val="ManualConsidrant"/>
        <w:spacing w:before="0" w:line="240" w:lineRule="auto"/>
        <w:ind w:left="0" w:firstLine="0"/>
        <w:jc w:val="both"/>
      </w:pPr>
      <w:r w:rsidRPr="000C342D">
        <w:br w:type="page"/>
      </w:r>
    </w:p>
    <w:p w:rsidR="00BB166C" w:rsidRPr="000C342D" w:rsidRDefault="00BB166C" w:rsidP="000E01B8">
      <w:pPr>
        <w:pStyle w:val="Titreobjet"/>
        <w:spacing w:before="0" w:line="240" w:lineRule="auto"/>
        <w:rPr>
          <w:sz w:val="32"/>
          <w:szCs w:val="32"/>
        </w:rPr>
      </w:pPr>
      <w:r w:rsidRPr="000C342D">
        <w:rPr>
          <w:sz w:val="32"/>
          <w:szCs w:val="32"/>
        </w:rPr>
        <w:t>Texte du projet de loi</w:t>
      </w:r>
    </w:p>
    <w:p w:rsidR="00BB166C" w:rsidRPr="009D702D" w:rsidRDefault="00BB166C" w:rsidP="000E01B8">
      <w:pPr>
        <w:spacing w:before="0" w:line="240" w:lineRule="auto"/>
        <w:jc w:val="both"/>
      </w:pPr>
      <w:r w:rsidRPr="00E37655">
        <w:t xml:space="preserve">Loi du </w:t>
      </w:r>
      <w:r>
        <w:t>jj mm aaaa</w:t>
      </w:r>
      <w:r w:rsidRPr="00E37655">
        <w:t xml:space="preserve"> </w:t>
      </w:r>
      <w:r w:rsidRPr="009D702D">
        <w:t>relative à la sécurité des jouets portant transposition de la directive 2009/48/CE  du Parlement européen et du Conseil du 18 juin 2009 relative à la sécurité des jouets</w:t>
      </w:r>
    </w:p>
    <w:p w:rsidR="00BB166C" w:rsidRPr="000C342D" w:rsidRDefault="00BB166C" w:rsidP="000E01B8">
      <w:pPr>
        <w:spacing w:before="0" w:line="240" w:lineRule="auto"/>
        <w:jc w:val="both"/>
      </w:pPr>
      <w:r w:rsidRPr="000C342D">
        <w:t>Nous Henri, Grand-Duc de Luxembourg, Duc de Nassau :</w:t>
      </w:r>
    </w:p>
    <w:p w:rsidR="00BB166C" w:rsidRPr="000C342D" w:rsidRDefault="00BB166C" w:rsidP="000E01B8">
      <w:pPr>
        <w:spacing w:before="0" w:line="240" w:lineRule="auto"/>
        <w:jc w:val="both"/>
      </w:pPr>
      <w:r w:rsidRPr="000C342D">
        <w:t>Notre Conseil d’Etat entendu ;</w:t>
      </w:r>
    </w:p>
    <w:p w:rsidR="00BB166C" w:rsidRPr="000C342D" w:rsidRDefault="00BB166C" w:rsidP="000E01B8">
      <w:pPr>
        <w:spacing w:before="0" w:line="240" w:lineRule="auto"/>
        <w:jc w:val="both"/>
      </w:pPr>
      <w:r w:rsidRPr="000C342D">
        <w:t xml:space="preserve">De l’assentiment de </w:t>
      </w:r>
      <w:smartTag w:uri="urn:schemas-microsoft-com:office:smarttags" w:element="PersonName">
        <w:smartTagPr>
          <w:attr w:name="ProductID" w:val="la Chambre"/>
        </w:smartTagPr>
        <w:r w:rsidRPr="000C342D">
          <w:t>la Chambre</w:t>
        </w:r>
      </w:smartTag>
      <w:r w:rsidRPr="000C342D">
        <w:t xml:space="preserve"> des Députés ;</w:t>
      </w:r>
    </w:p>
    <w:p w:rsidR="00BB166C" w:rsidRPr="000C342D" w:rsidRDefault="00BB166C" w:rsidP="000E01B8">
      <w:pPr>
        <w:spacing w:before="0" w:line="240" w:lineRule="auto"/>
        <w:jc w:val="both"/>
      </w:pPr>
      <w:r w:rsidRPr="000C342D">
        <w:t xml:space="preserve">Vu la décision de </w:t>
      </w:r>
      <w:smartTag w:uri="urn:schemas-microsoft-com:office:smarttags" w:element="PersonName">
        <w:smartTagPr>
          <w:attr w:name="ProductID" w:val="la Chambre"/>
        </w:smartTagPr>
        <w:r w:rsidRPr="000C342D">
          <w:t>la Chambre</w:t>
        </w:r>
      </w:smartTag>
      <w:r w:rsidRPr="000C342D">
        <w:t xml:space="preserve"> des Députés du xxx et celle du Conseil d’Etat du portant qu’il n’y a pas lieu à second vote ;</w:t>
      </w:r>
    </w:p>
    <w:p w:rsidR="00BB166C" w:rsidRPr="000C342D" w:rsidRDefault="00BB166C" w:rsidP="000E01B8">
      <w:pPr>
        <w:spacing w:before="0" w:after="360" w:line="240" w:lineRule="auto"/>
        <w:jc w:val="center"/>
      </w:pPr>
      <w:r w:rsidRPr="000C342D">
        <w:t>Avons ordonné et ordonnons</w:t>
      </w:r>
    </w:p>
    <w:p w:rsidR="00BB166C" w:rsidRPr="000C342D" w:rsidRDefault="00BB166C" w:rsidP="000E01B8">
      <w:pPr>
        <w:spacing w:before="0" w:after="240" w:line="240" w:lineRule="auto"/>
        <w:jc w:val="center"/>
        <w:rPr>
          <w:b/>
        </w:rPr>
      </w:pPr>
      <w:r w:rsidRPr="000C342D">
        <w:rPr>
          <w:b/>
        </w:rPr>
        <w:t>Chapitre 1</w:t>
      </w:r>
      <w:r w:rsidRPr="000C342D">
        <w:rPr>
          <w:b/>
          <w:vertAlign w:val="superscript"/>
        </w:rPr>
        <w:t>er</w:t>
      </w:r>
      <w:r w:rsidRPr="000C342D">
        <w:rPr>
          <w:b/>
        </w:rPr>
        <w:t xml:space="preserve"> – Dispositions générales</w:t>
      </w:r>
    </w:p>
    <w:p w:rsidR="00BB166C" w:rsidRPr="000C342D" w:rsidRDefault="00BB166C" w:rsidP="000E01B8">
      <w:pPr>
        <w:spacing w:before="0" w:line="240" w:lineRule="auto"/>
        <w:rPr>
          <w:b/>
        </w:rPr>
      </w:pPr>
      <w:bookmarkStart w:id="0" w:name="OLE_LINK3"/>
      <w:bookmarkStart w:id="1" w:name="OLE_LINK4"/>
      <w:r w:rsidRPr="000C342D">
        <w:rPr>
          <w:b/>
        </w:rPr>
        <w:t>Art.1</w:t>
      </w:r>
      <w:r w:rsidRPr="000C342D">
        <w:rPr>
          <w:b/>
          <w:vertAlign w:val="superscript"/>
        </w:rPr>
        <w:t>er</w:t>
      </w:r>
      <w:r w:rsidRPr="000C342D">
        <w:rPr>
          <w:b/>
        </w:rPr>
        <w:t xml:space="preserve">. - </w:t>
      </w:r>
      <w:r w:rsidRPr="000C342D">
        <w:rPr>
          <w:b/>
          <w:i/>
        </w:rPr>
        <w:t>Objet</w:t>
      </w:r>
    </w:p>
    <w:bookmarkEnd w:id="0"/>
    <w:bookmarkEnd w:id="1"/>
    <w:p w:rsidR="00BB166C" w:rsidRPr="000C342D" w:rsidRDefault="00BB166C" w:rsidP="000E01B8">
      <w:pPr>
        <w:spacing w:before="0" w:after="240" w:line="240" w:lineRule="auto"/>
        <w:jc w:val="both"/>
      </w:pPr>
      <w:r w:rsidRPr="000C342D">
        <w:t xml:space="preserve">La présente loi fixe des règles en matière de sécurité des jouets et de leur libre circulation dans </w:t>
      </w:r>
      <w:smartTag w:uri="urn:schemas-microsoft-com:office:smarttags" w:element="PersonName">
        <w:smartTagPr>
          <w:attr w:name="ProductID" w:val="la Communaut￩"/>
        </w:smartTagPr>
        <w:r w:rsidRPr="000C342D">
          <w:t>la Communauté</w:t>
        </w:r>
      </w:smartTag>
      <w:r w:rsidRPr="000C342D">
        <w:t xml:space="preserve"> européenne.</w:t>
      </w:r>
    </w:p>
    <w:p w:rsidR="00BB166C" w:rsidRPr="000C342D" w:rsidRDefault="00BB166C" w:rsidP="000E01B8">
      <w:pPr>
        <w:spacing w:before="0" w:line="240" w:lineRule="auto"/>
        <w:rPr>
          <w:b/>
        </w:rPr>
      </w:pPr>
      <w:r w:rsidRPr="000C342D">
        <w:rPr>
          <w:b/>
        </w:rPr>
        <w:t xml:space="preserve">Art.2. - </w:t>
      </w:r>
      <w:r w:rsidRPr="000C342D">
        <w:rPr>
          <w:b/>
          <w:i/>
        </w:rPr>
        <w:t>Champ d’application</w:t>
      </w:r>
    </w:p>
    <w:p w:rsidR="00BB166C" w:rsidRPr="000C342D" w:rsidRDefault="00BB166C" w:rsidP="000E01B8">
      <w:pPr>
        <w:pStyle w:val="ManualNumPar1"/>
        <w:spacing w:before="0" w:line="240" w:lineRule="auto"/>
        <w:jc w:val="both"/>
      </w:pPr>
      <w:r w:rsidRPr="000C342D">
        <w:t>(1)</w:t>
      </w:r>
      <w:r w:rsidRPr="000C342D">
        <w:tab/>
        <w:t>La présente loi s'applique aux produits conçus ou destinés, exclusivement ou non, à être utilisés à des fins de jeu par des enfants de moins de 14 ans, ci-après dénommés « jouets ».</w:t>
      </w:r>
    </w:p>
    <w:p w:rsidR="00BB166C" w:rsidRPr="000C342D" w:rsidRDefault="00BB166C" w:rsidP="000E01B8">
      <w:pPr>
        <w:pStyle w:val="Text1"/>
        <w:spacing w:before="0" w:line="240" w:lineRule="auto"/>
        <w:jc w:val="both"/>
      </w:pPr>
      <w:r w:rsidRPr="000C342D">
        <w:t>Les produits énumérés à l'annexe I ne sont pas considérés comme des jouets au sens de la présente loi.</w:t>
      </w:r>
    </w:p>
    <w:p w:rsidR="00BB166C" w:rsidRPr="000C342D" w:rsidRDefault="00BB166C" w:rsidP="000E01B8">
      <w:pPr>
        <w:pStyle w:val="ManualNumPar1"/>
        <w:spacing w:before="0" w:line="240" w:lineRule="auto"/>
        <w:jc w:val="both"/>
      </w:pPr>
      <w:r w:rsidRPr="000C342D">
        <w:t>(2)</w:t>
      </w:r>
      <w:r w:rsidRPr="000C342D">
        <w:tab/>
        <w:t>La présente loi ne s'applique pas aux jouets suivants :</w:t>
      </w:r>
    </w:p>
    <w:p w:rsidR="00BB166C" w:rsidRPr="000C342D" w:rsidRDefault="00BB166C" w:rsidP="000E01B8">
      <w:pPr>
        <w:pStyle w:val="Point1"/>
        <w:spacing w:before="0" w:line="240" w:lineRule="auto"/>
        <w:jc w:val="both"/>
      </w:pPr>
      <w:r w:rsidRPr="000C342D">
        <w:t>a)</w:t>
      </w:r>
      <w:r w:rsidRPr="000C342D">
        <w:tab/>
        <w:t xml:space="preserve">équipements </w:t>
      </w:r>
      <w:r>
        <w:t>pour aires collectives de jeu destinées à une utilisation publique</w:t>
      </w:r>
      <w:r w:rsidRPr="000C342D">
        <w:t>;</w:t>
      </w:r>
    </w:p>
    <w:p w:rsidR="00BB166C" w:rsidRPr="000C342D" w:rsidRDefault="00BB166C" w:rsidP="000E01B8">
      <w:pPr>
        <w:pStyle w:val="Point1"/>
        <w:spacing w:before="0" w:line="240" w:lineRule="auto"/>
        <w:jc w:val="both"/>
      </w:pPr>
      <w:r w:rsidRPr="000C342D">
        <w:t>b)</w:t>
      </w:r>
      <w:r w:rsidRPr="000C342D">
        <w:tab/>
        <w:t>machines de jeu automatiques, à pièces ou non, destinées à l'usage du public ;</w:t>
      </w:r>
    </w:p>
    <w:p w:rsidR="00BB166C" w:rsidRPr="000C342D" w:rsidRDefault="00BB166C" w:rsidP="000E01B8">
      <w:pPr>
        <w:pStyle w:val="Point1"/>
        <w:spacing w:before="0" w:line="240" w:lineRule="auto"/>
        <w:jc w:val="both"/>
      </w:pPr>
      <w:r w:rsidRPr="000C342D">
        <w:t>c)</w:t>
      </w:r>
      <w:r w:rsidRPr="000C342D">
        <w:tab/>
        <w:t xml:space="preserve">véhicules </w:t>
      </w:r>
      <w:r w:rsidRPr="00CE31B3">
        <w:t>de jeu</w:t>
      </w:r>
      <w:r w:rsidRPr="000C342D">
        <w:t xml:space="preserve"> équipés de moteurs à combustion ;</w:t>
      </w:r>
    </w:p>
    <w:p w:rsidR="00BB166C" w:rsidRPr="000C342D" w:rsidRDefault="00BB166C" w:rsidP="000E01B8">
      <w:pPr>
        <w:pStyle w:val="Point1"/>
        <w:spacing w:before="0" w:line="240" w:lineRule="auto"/>
        <w:jc w:val="both"/>
      </w:pPr>
      <w:r w:rsidRPr="000C342D">
        <w:t>d)</w:t>
      </w:r>
      <w:r w:rsidRPr="000C342D">
        <w:tab/>
        <w:t>jouets machine à vapeur, et</w:t>
      </w:r>
    </w:p>
    <w:p w:rsidR="00BB166C" w:rsidRPr="000C342D" w:rsidRDefault="00BB166C" w:rsidP="000E01B8">
      <w:pPr>
        <w:pStyle w:val="Point1"/>
        <w:spacing w:before="0" w:after="240" w:line="240" w:lineRule="auto"/>
        <w:ind w:left="1418"/>
        <w:jc w:val="both"/>
      </w:pPr>
      <w:r w:rsidRPr="000C342D">
        <w:t>e)</w:t>
      </w:r>
      <w:r w:rsidRPr="000C342D">
        <w:tab/>
        <w:t>frondes et lance-pierres.</w:t>
      </w:r>
    </w:p>
    <w:p w:rsidR="00BB166C" w:rsidRPr="000C342D" w:rsidRDefault="00BB166C" w:rsidP="000E01B8">
      <w:pPr>
        <w:spacing w:before="0" w:line="240" w:lineRule="auto"/>
        <w:rPr>
          <w:b/>
        </w:rPr>
      </w:pPr>
      <w:r w:rsidRPr="000C342D">
        <w:rPr>
          <w:b/>
        </w:rPr>
        <w:t xml:space="preserve">Art. 3. - </w:t>
      </w:r>
      <w:r w:rsidRPr="000C342D">
        <w:rPr>
          <w:b/>
          <w:i/>
        </w:rPr>
        <w:t>Définitions</w:t>
      </w:r>
    </w:p>
    <w:p w:rsidR="00BB166C" w:rsidRPr="000C342D" w:rsidRDefault="00BB166C" w:rsidP="000E01B8">
      <w:pPr>
        <w:spacing w:before="0" w:line="240" w:lineRule="auto"/>
      </w:pPr>
      <w:r w:rsidRPr="000C342D">
        <w:t>Aux fins de la présente loi, on entend par :</w:t>
      </w:r>
    </w:p>
    <w:p w:rsidR="00BB166C" w:rsidRPr="000C342D" w:rsidRDefault="00BB166C" w:rsidP="000E01B8">
      <w:pPr>
        <w:pStyle w:val="Point0"/>
        <w:spacing w:before="0" w:line="240" w:lineRule="auto"/>
        <w:jc w:val="both"/>
      </w:pPr>
      <w:r w:rsidRPr="000C342D">
        <w:t>1°</w:t>
      </w:r>
      <w:r w:rsidRPr="000C342D">
        <w:tab/>
      </w:r>
      <w:r w:rsidRPr="000C342D">
        <w:rPr>
          <w:i/>
        </w:rPr>
        <w:t>mise à disposition sur le marché</w:t>
      </w:r>
      <w:r w:rsidRPr="000C342D">
        <w:t> : toute fourniture d'un jouet destiné à être distribué, consommé ou utilisé sur le marché communautaire dans le cadre d'une activité commerciale, à titre onéreux ou gratuit ;</w:t>
      </w:r>
    </w:p>
    <w:p w:rsidR="00BB166C" w:rsidRPr="000C342D" w:rsidRDefault="00BB166C" w:rsidP="000E01B8">
      <w:pPr>
        <w:pStyle w:val="Point0"/>
        <w:spacing w:before="0" w:line="240" w:lineRule="auto"/>
        <w:jc w:val="both"/>
      </w:pPr>
      <w:r w:rsidRPr="000C342D">
        <w:t>2°</w:t>
      </w:r>
      <w:r w:rsidRPr="000C342D">
        <w:tab/>
      </w:r>
      <w:r w:rsidRPr="000C342D">
        <w:rPr>
          <w:i/>
        </w:rPr>
        <w:t>mise sur le marché</w:t>
      </w:r>
      <w:r w:rsidRPr="000C342D">
        <w:t> : la première mise à disposition d'un jouet sur le marché communautaire ;</w:t>
      </w:r>
    </w:p>
    <w:p w:rsidR="00BB166C" w:rsidRPr="000C342D" w:rsidRDefault="00BB166C" w:rsidP="000E01B8">
      <w:pPr>
        <w:pStyle w:val="Point0"/>
        <w:spacing w:before="0" w:line="240" w:lineRule="auto"/>
        <w:jc w:val="both"/>
      </w:pPr>
      <w:r w:rsidRPr="000C342D">
        <w:t>3°</w:t>
      </w:r>
      <w:r w:rsidRPr="000C342D">
        <w:tab/>
      </w:r>
      <w:r w:rsidRPr="000C342D">
        <w:rPr>
          <w:i/>
        </w:rPr>
        <w:t>fabricant</w:t>
      </w:r>
      <w:r w:rsidRPr="000C342D">
        <w:t> : toute personne physique ou morale qui fabrique un jouet, ou fait concevoir ou fabriquer un jouet, et le commercialise sous son propre nom ou sa propre marque;</w:t>
      </w:r>
    </w:p>
    <w:p w:rsidR="00BB166C" w:rsidRPr="000C342D" w:rsidRDefault="00BB166C" w:rsidP="000E01B8">
      <w:pPr>
        <w:pStyle w:val="Point0"/>
        <w:spacing w:before="0" w:line="240" w:lineRule="auto"/>
        <w:jc w:val="both"/>
      </w:pPr>
      <w:r w:rsidRPr="000C342D">
        <w:t>4°</w:t>
      </w:r>
      <w:r w:rsidRPr="000C342D">
        <w:tab/>
      </w:r>
      <w:r w:rsidRPr="000C342D">
        <w:rPr>
          <w:i/>
        </w:rPr>
        <w:t>mandataire</w:t>
      </w:r>
      <w:r w:rsidRPr="000C342D">
        <w:t xml:space="preserve"> : toute personne physique ou morale établie dans </w:t>
      </w:r>
      <w:smartTag w:uri="urn:schemas-microsoft-com:office:smarttags" w:element="PersonName">
        <w:smartTagPr>
          <w:attr w:name="ProductID" w:val="la Communaut￩"/>
        </w:smartTagPr>
        <w:r w:rsidRPr="000C342D">
          <w:t>la Communauté</w:t>
        </w:r>
      </w:smartTag>
      <w:r w:rsidRPr="000C342D">
        <w:t xml:space="preserve"> ayant reçu mandat écrit d'un fabricant pour agir en son nom aux fins de l'accomplissement de tâches déterminées ;</w:t>
      </w:r>
    </w:p>
    <w:p w:rsidR="00BB166C" w:rsidRPr="000C342D" w:rsidRDefault="00BB166C" w:rsidP="000E01B8">
      <w:pPr>
        <w:pStyle w:val="Point0"/>
        <w:spacing w:before="0" w:line="240" w:lineRule="auto"/>
        <w:jc w:val="both"/>
      </w:pPr>
      <w:r w:rsidRPr="000C342D">
        <w:t>5°</w:t>
      </w:r>
      <w:r w:rsidRPr="000C342D">
        <w:tab/>
      </w:r>
      <w:r w:rsidRPr="000C342D">
        <w:rPr>
          <w:i/>
        </w:rPr>
        <w:t>importateur</w:t>
      </w:r>
      <w:r w:rsidRPr="000C342D">
        <w:t xml:space="preserve"> : toute personne physique ou morale établie dans </w:t>
      </w:r>
      <w:smartTag w:uri="urn:schemas-microsoft-com:office:smarttags" w:element="PersonName">
        <w:smartTagPr>
          <w:attr w:name="ProductID" w:val="la Communaut￩"/>
        </w:smartTagPr>
        <w:r w:rsidRPr="000C342D">
          <w:t>la Communauté</w:t>
        </w:r>
      </w:smartTag>
      <w:r w:rsidRPr="000C342D">
        <w:t xml:space="preserve"> qui met un jouet provenant d'un pays tiers sur le marché communautaire ;</w:t>
      </w:r>
    </w:p>
    <w:p w:rsidR="00BB166C" w:rsidRPr="000C342D" w:rsidRDefault="00BB166C" w:rsidP="000E01B8">
      <w:pPr>
        <w:pStyle w:val="Point0"/>
        <w:spacing w:before="0" w:line="240" w:lineRule="auto"/>
        <w:jc w:val="both"/>
      </w:pPr>
      <w:r w:rsidRPr="000C342D">
        <w:t>6°</w:t>
      </w:r>
      <w:r w:rsidRPr="000C342D">
        <w:tab/>
      </w:r>
      <w:r w:rsidRPr="000C342D">
        <w:rPr>
          <w:i/>
        </w:rPr>
        <w:t>distributeur</w:t>
      </w:r>
      <w:r w:rsidRPr="000C342D">
        <w:t> : toute personne physique ou morale faisant partie de la chaîne d'approvisionnement, autre que le fabricant ou l'importateur, qui met un jouet à disposition sur le marché ;</w:t>
      </w:r>
    </w:p>
    <w:p w:rsidR="00BB166C" w:rsidRPr="000C342D" w:rsidRDefault="00BB166C" w:rsidP="000E01B8">
      <w:pPr>
        <w:pStyle w:val="Point0"/>
        <w:spacing w:before="0" w:line="240" w:lineRule="auto"/>
        <w:jc w:val="both"/>
      </w:pPr>
      <w:r w:rsidRPr="000C342D">
        <w:t>7°</w:t>
      </w:r>
      <w:r w:rsidRPr="000C342D">
        <w:tab/>
      </w:r>
      <w:r w:rsidRPr="000C342D">
        <w:rPr>
          <w:i/>
        </w:rPr>
        <w:t>opérateurs économiques</w:t>
      </w:r>
      <w:r w:rsidRPr="000C342D">
        <w:t> : le fabricant, le mandataire, l'importateur et le distributeur ;</w:t>
      </w:r>
    </w:p>
    <w:p w:rsidR="00BB166C" w:rsidRPr="000C342D" w:rsidRDefault="00BB166C" w:rsidP="000E01B8">
      <w:pPr>
        <w:pStyle w:val="Point0"/>
        <w:spacing w:before="0" w:line="240" w:lineRule="auto"/>
        <w:jc w:val="both"/>
      </w:pPr>
      <w:r w:rsidRPr="000C342D">
        <w:t>8°</w:t>
      </w:r>
      <w:r w:rsidRPr="000C342D">
        <w:tab/>
      </w:r>
      <w:r w:rsidRPr="000C342D">
        <w:rPr>
          <w:i/>
        </w:rPr>
        <w:t>norme harmonisée</w:t>
      </w:r>
      <w:r w:rsidRPr="000C342D">
        <w:t xml:space="preserve"> : une norme adoptée par l'un des organismes européens de normalisation énumérés à l'annexe I de la directive 98/34/CE sur la base d'une demande formulée par la </w:t>
      </w:r>
      <w:r>
        <w:t>Commission européenne</w:t>
      </w:r>
      <w:r w:rsidRPr="000C342D">
        <w:t>, conformément à l'article 6 de ladite directive ;</w:t>
      </w:r>
    </w:p>
    <w:p w:rsidR="00BB166C" w:rsidRPr="000C342D" w:rsidRDefault="00BB166C" w:rsidP="000E01B8">
      <w:pPr>
        <w:pStyle w:val="Point0"/>
        <w:spacing w:before="0" w:line="240" w:lineRule="auto"/>
      </w:pPr>
      <w:r w:rsidRPr="000C342D">
        <w:t>9°</w:t>
      </w:r>
      <w:r w:rsidRPr="000C342D">
        <w:tab/>
      </w:r>
      <w:r w:rsidRPr="000C342D">
        <w:rPr>
          <w:i/>
        </w:rPr>
        <w:t>législation communautaire d'harmonisation</w:t>
      </w:r>
      <w:r w:rsidRPr="000C342D">
        <w:t> : toute législation communautaire harmonisant les conditions de commercialisation des produits ;</w:t>
      </w:r>
    </w:p>
    <w:p w:rsidR="00BB166C" w:rsidRPr="000C342D" w:rsidRDefault="00BB166C" w:rsidP="000E01B8">
      <w:pPr>
        <w:pStyle w:val="Point0"/>
        <w:spacing w:before="0" w:line="240" w:lineRule="auto"/>
      </w:pPr>
      <w:r w:rsidRPr="000C342D">
        <w:t>10°</w:t>
      </w:r>
      <w:r w:rsidRPr="000C342D">
        <w:tab/>
      </w:r>
      <w:r w:rsidRPr="000C342D">
        <w:rPr>
          <w:i/>
        </w:rPr>
        <w:t>accréditation </w:t>
      </w:r>
      <w:r w:rsidRPr="000C342D">
        <w:t>: l'accréditation au sens du  règlement (CE) n° 765/2008 ;</w:t>
      </w:r>
    </w:p>
    <w:p w:rsidR="00BB166C" w:rsidRPr="000C342D" w:rsidRDefault="00BB166C" w:rsidP="000E01B8">
      <w:pPr>
        <w:pStyle w:val="Point0"/>
        <w:spacing w:before="0" w:line="240" w:lineRule="auto"/>
        <w:jc w:val="both"/>
      </w:pPr>
      <w:r w:rsidRPr="000C342D">
        <w:t>11°</w:t>
      </w:r>
      <w:r w:rsidRPr="000C342D">
        <w:tab/>
      </w:r>
      <w:r w:rsidRPr="000C342D">
        <w:rPr>
          <w:i/>
        </w:rPr>
        <w:t>évaluation de la conformité</w:t>
      </w:r>
      <w:r w:rsidRPr="000C342D">
        <w:t> : le processus démontrant si des exigences spécifiées relatives à un jouet ont ou non été respectées ;</w:t>
      </w:r>
    </w:p>
    <w:p w:rsidR="00BB166C" w:rsidRPr="000C342D" w:rsidRDefault="00BB166C" w:rsidP="000E01B8">
      <w:pPr>
        <w:pStyle w:val="Point0"/>
        <w:spacing w:before="0" w:line="240" w:lineRule="auto"/>
        <w:jc w:val="both"/>
      </w:pPr>
      <w:r w:rsidRPr="000C342D">
        <w:t>12°</w:t>
      </w:r>
      <w:r w:rsidRPr="000C342D">
        <w:tab/>
      </w:r>
      <w:r w:rsidRPr="000C342D">
        <w:rPr>
          <w:i/>
        </w:rPr>
        <w:t>organisme d'évaluation de la conformité</w:t>
      </w:r>
      <w:r w:rsidRPr="000C342D">
        <w:t> : l'organisme procédant à des activités d'évaluation de la conformité, y compris l'étalonnage, les essais, la certification et l'inspection ;</w:t>
      </w:r>
    </w:p>
    <w:p w:rsidR="00BB166C" w:rsidRPr="000C342D" w:rsidRDefault="00BB166C" w:rsidP="000E01B8">
      <w:pPr>
        <w:pStyle w:val="Point0"/>
        <w:spacing w:before="0" w:line="240" w:lineRule="auto"/>
        <w:jc w:val="both"/>
      </w:pPr>
      <w:r w:rsidRPr="000C342D">
        <w:t>13°</w:t>
      </w:r>
      <w:r w:rsidRPr="000C342D">
        <w:tab/>
      </w:r>
      <w:r w:rsidRPr="000C342D">
        <w:rPr>
          <w:i/>
        </w:rPr>
        <w:t>rappel</w:t>
      </w:r>
      <w:r w:rsidRPr="000C342D">
        <w:t> : toute mesure visant à obtenir le retour d'un jouet qui a déjà été mis à la disposition de l'utilisateur final ;</w:t>
      </w:r>
    </w:p>
    <w:p w:rsidR="00BB166C" w:rsidRPr="000C342D" w:rsidRDefault="00BB166C" w:rsidP="000E01B8">
      <w:pPr>
        <w:pStyle w:val="Point0"/>
        <w:spacing w:before="0" w:line="240" w:lineRule="auto"/>
        <w:jc w:val="both"/>
      </w:pPr>
      <w:r w:rsidRPr="000C342D">
        <w:t>14°</w:t>
      </w:r>
      <w:r w:rsidRPr="000C342D">
        <w:tab/>
      </w:r>
      <w:r w:rsidRPr="000C342D">
        <w:rPr>
          <w:i/>
        </w:rPr>
        <w:t>retrait</w:t>
      </w:r>
      <w:r w:rsidRPr="000C342D">
        <w:t> : toute mesure visant à empêcher la mise à disposition sur le marché d'un jouet de la chaîne d'approvisionnement ;</w:t>
      </w:r>
    </w:p>
    <w:p w:rsidR="00BB166C" w:rsidRPr="000C342D" w:rsidRDefault="00BB166C" w:rsidP="000E01B8">
      <w:pPr>
        <w:pStyle w:val="Point0"/>
        <w:spacing w:before="0" w:line="240" w:lineRule="auto"/>
        <w:jc w:val="both"/>
      </w:pPr>
      <w:r w:rsidRPr="000C342D">
        <w:t>15°</w:t>
      </w:r>
      <w:r w:rsidRPr="000C342D">
        <w:tab/>
      </w:r>
      <w:r w:rsidRPr="000C342D">
        <w:rPr>
          <w:i/>
        </w:rPr>
        <w:t>surveillance du marché</w:t>
      </w:r>
      <w:r w:rsidRPr="000C342D">
        <w:t> : les opérations effectuées et les mesures prises par l’Institut luxembourgeois de la normalisation, de l’accréditation, de la sécurité et qualité des produits et services pour veiller à ce que les jouets soient conformes aux exigences applicables énoncées par la législation communautaire d'harmonisation et ne portent pas atteinte à la santé, ni à la sécurité ou à tout autre aspect de la protection de l'intérêt public ;</w:t>
      </w:r>
    </w:p>
    <w:p w:rsidR="00BB166C" w:rsidRPr="000C342D" w:rsidRDefault="00BB166C" w:rsidP="000E01B8">
      <w:pPr>
        <w:pStyle w:val="Point0"/>
        <w:spacing w:before="0" w:line="240" w:lineRule="auto"/>
        <w:jc w:val="both"/>
      </w:pPr>
      <w:r w:rsidRPr="000C342D">
        <w:t>16°</w:t>
      </w:r>
      <w:r w:rsidRPr="000C342D">
        <w:tab/>
      </w:r>
      <w:r w:rsidRPr="000C342D">
        <w:rPr>
          <w:i/>
        </w:rPr>
        <w:t>marquage CE</w:t>
      </w:r>
      <w:r w:rsidRPr="000C342D">
        <w:t> : le marquage par lequel le fabricant indique que le jouet est conforme aux exigences applicables énoncées dans la législation communautaire d'harmonisation prévoyant son apposition ;</w:t>
      </w:r>
    </w:p>
    <w:p w:rsidR="00BB166C" w:rsidRPr="000C342D" w:rsidRDefault="00BB166C" w:rsidP="000E01B8">
      <w:pPr>
        <w:pStyle w:val="Point0"/>
        <w:spacing w:before="0" w:line="240" w:lineRule="auto"/>
        <w:jc w:val="both"/>
      </w:pPr>
      <w:r w:rsidRPr="000C342D">
        <w:t>17°</w:t>
      </w:r>
      <w:r w:rsidRPr="000C342D">
        <w:tab/>
      </w:r>
      <w:r w:rsidRPr="000C342D">
        <w:rPr>
          <w:i/>
        </w:rPr>
        <w:t>produit fonctionnel</w:t>
      </w:r>
      <w:r w:rsidRPr="000C342D">
        <w:t> : un produit qui fonctionne et est utilisé de la même manière qu'un produit, un appareil ou une installation destinés à être utilisés par des adultes, et qui peut constituer un modèle réduit d'un tel produit, appareil ou installation ;</w:t>
      </w:r>
    </w:p>
    <w:p w:rsidR="00BB166C" w:rsidRPr="000C342D" w:rsidRDefault="00BB166C" w:rsidP="000E01B8">
      <w:pPr>
        <w:pStyle w:val="Point0"/>
        <w:spacing w:before="0" w:line="240" w:lineRule="auto"/>
        <w:jc w:val="both"/>
      </w:pPr>
      <w:r w:rsidRPr="000C342D">
        <w:t>18°</w:t>
      </w:r>
      <w:r w:rsidRPr="000C342D">
        <w:tab/>
      </w:r>
      <w:r w:rsidRPr="000C342D">
        <w:rPr>
          <w:i/>
        </w:rPr>
        <w:t>jouet fonctionnel</w:t>
      </w:r>
      <w:r w:rsidRPr="000C342D">
        <w:t> : un jouet qui fonctionne et qui est utilisé de la même manière qu'un produit, un appareil ou une installation destinés à être utilisés par des adultes, et qui peut constituer un modèle réduit d'un tel produit, appareil ou installation ;</w:t>
      </w:r>
    </w:p>
    <w:p w:rsidR="00BB166C" w:rsidRPr="000C342D" w:rsidRDefault="00BB166C" w:rsidP="000E01B8">
      <w:pPr>
        <w:pStyle w:val="Point0"/>
        <w:spacing w:before="0" w:line="240" w:lineRule="auto"/>
        <w:jc w:val="both"/>
      </w:pPr>
      <w:r w:rsidRPr="000C342D">
        <w:t>19°</w:t>
      </w:r>
      <w:r w:rsidRPr="000C342D">
        <w:tab/>
      </w:r>
      <w:r w:rsidRPr="000C342D">
        <w:rPr>
          <w:i/>
        </w:rPr>
        <w:t>jouet aquatique</w:t>
      </w:r>
      <w:r w:rsidRPr="000C342D">
        <w:t> : un jouet destiné à être utilisé en eaux peu profondes et apte à porter ou à soutenir un enfant sur l'eau ;</w:t>
      </w:r>
    </w:p>
    <w:p w:rsidR="00BB166C" w:rsidRPr="000C342D" w:rsidRDefault="00BB166C" w:rsidP="000E01B8">
      <w:pPr>
        <w:pStyle w:val="Point0"/>
        <w:spacing w:before="0" w:line="240" w:lineRule="auto"/>
        <w:jc w:val="both"/>
      </w:pPr>
      <w:r w:rsidRPr="000C342D">
        <w:t>20°</w:t>
      </w:r>
      <w:r w:rsidRPr="000C342D">
        <w:tab/>
      </w:r>
      <w:r w:rsidRPr="000C342D">
        <w:rPr>
          <w:i/>
        </w:rPr>
        <w:t>vitesse nominale</w:t>
      </w:r>
      <w:r w:rsidRPr="000C342D">
        <w:t> : la vitesse de fonctionnement normale déterminée par la conception</w:t>
      </w:r>
      <w:r>
        <w:t xml:space="preserve"> </w:t>
      </w:r>
      <w:r w:rsidRPr="002B6853">
        <w:t>du jouet</w:t>
      </w:r>
      <w:r w:rsidRPr="000C342D">
        <w:t> ;</w:t>
      </w:r>
    </w:p>
    <w:p w:rsidR="00BB166C" w:rsidRPr="000C342D" w:rsidRDefault="00BB166C" w:rsidP="000E01B8">
      <w:pPr>
        <w:pStyle w:val="Point0"/>
        <w:spacing w:before="0" w:line="240" w:lineRule="auto"/>
        <w:jc w:val="both"/>
      </w:pPr>
      <w:r w:rsidRPr="000C342D">
        <w:t>21°</w:t>
      </w:r>
      <w:r w:rsidRPr="000C342D">
        <w:tab/>
      </w:r>
      <w:r w:rsidRPr="000C342D">
        <w:rPr>
          <w:i/>
        </w:rPr>
        <w:t>jouet d'activité</w:t>
      </w:r>
      <w:r w:rsidRPr="000C342D">
        <w:t> : un jouet destiné à un usage familial et dont la structure portante reste stationnaire pendant l'activité et qui est destiné aux enfants pour pratiquer l'une des activités suivantes: grimper, sauter, se balancer, glisser, tournoyer, ramper</w:t>
      </w:r>
      <w:r>
        <w:t>,</w:t>
      </w:r>
      <w:r w:rsidRPr="000C342D">
        <w:t xml:space="preserve"> </w:t>
      </w:r>
      <w:r w:rsidRPr="002B6853">
        <w:t>se faufiler</w:t>
      </w:r>
      <w:r>
        <w:t xml:space="preserve"> </w:t>
      </w:r>
      <w:r w:rsidRPr="000C342D">
        <w:t>ou toute combinaison de ces activités ;</w:t>
      </w:r>
    </w:p>
    <w:p w:rsidR="00BB166C" w:rsidRPr="000C342D" w:rsidRDefault="00BB166C" w:rsidP="000E01B8">
      <w:pPr>
        <w:pStyle w:val="Point0"/>
        <w:spacing w:before="0" w:line="240" w:lineRule="auto"/>
        <w:jc w:val="both"/>
      </w:pPr>
      <w:r w:rsidRPr="000C342D">
        <w:t>22°</w:t>
      </w:r>
      <w:r w:rsidRPr="000C342D">
        <w:tab/>
      </w:r>
      <w:r w:rsidRPr="000C342D">
        <w:rPr>
          <w:i/>
        </w:rPr>
        <w:t>jouet chimique</w:t>
      </w:r>
      <w:r w:rsidRPr="000C342D">
        <w:t> : un jouet destiné à la manipulation directe de substances et de mélanges chimiques et qui est destiné à être utilisé, à un âge approprié,</w:t>
      </w:r>
      <w:r>
        <w:t xml:space="preserve"> sous la surveillance d'adultes ;</w:t>
      </w:r>
    </w:p>
    <w:p w:rsidR="00BB166C" w:rsidRPr="000C342D" w:rsidRDefault="00BB166C" w:rsidP="000E01B8">
      <w:pPr>
        <w:pStyle w:val="Point0"/>
        <w:spacing w:before="0" w:line="240" w:lineRule="auto"/>
        <w:jc w:val="both"/>
      </w:pPr>
      <w:r w:rsidRPr="000C342D">
        <w:t>23°</w:t>
      </w:r>
      <w:r w:rsidRPr="000C342D">
        <w:tab/>
      </w:r>
      <w:r w:rsidRPr="000C342D">
        <w:rPr>
          <w:i/>
        </w:rPr>
        <w:t>jeu de table olfactif</w:t>
      </w:r>
      <w:r w:rsidRPr="000C342D">
        <w:t> : un jeu dont l'objet est d'aider un enfant à apprendre à reconnaître différents parfums ou odeurs ;</w:t>
      </w:r>
    </w:p>
    <w:p w:rsidR="00BB166C" w:rsidRPr="000C342D" w:rsidRDefault="00BB166C" w:rsidP="000E01B8">
      <w:pPr>
        <w:pStyle w:val="Point0"/>
        <w:spacing w:before="0" w:line="240" w:lineRule="auto"/>
        <w:jc w:val="both"/>
      </w:pPr>
      <w:r w:rsidRPr="000C342D">
        <w:t>24°</w:t>
      </w:r>
      <w:r w:rsidRPr="000C342D">
        <w:tab/>
      </w:r>
      <w:r w:rsidRPr="000C342D">
        <w:rPr>
          <w:i/>
        </w:rPr>
        <w:t>ensemble cosmétique</w:t>
      </w:r>
      <w:r w:rsidRPr="000C342D">
        <w:t> : un jouet dont l'objet est d'aider l'enfant à apprendre à fabriquer des produits tels que substances parfumantes, savons, crèmes, shampoings, mousses pour le bain, vernis, rouge à lèvres, maqu</w:t>
      </w:r>
      <w:r>
        <w:t>illage, dentifrice et adjuvants ;</w:t>
      </w:r>
    </w:p>
    <w:p w:rsidR="00BB166C" w:rsidRPr="000C342D" w:rsidRDefault="00BB166C" w:rsidP="000E01B8">
      <w:pPr>
        <w:pStyle w:val="Point0"/>
        <w:spacing w:before="0" w:line="240" w:lineRule="auto"/>
        <w:jc w:val="both"/>
      </w:pPr>
      <w:r w:rsidRPr="000C342D">
        <w:t>25°</w:t>
      </w:r>
      <w:r w:rsidRPr="000C342D">
        <w:tab/>
      </w:r>
      <w:r w:rsidRPr="000C342D">
        <w:rPr>
          <w:i/>
        </w:rPr>
        <w:t>jeu gustatif</w:t>
      </w:r>
      <w:r w:rsidRPr="000C342D">
        <w:t> : un jouet pouvant comporter l'utilisation d'ingrédients alimentaires, tels qu'édulcorants, liquides, poudres et arômes, permettant aux enfants de confectionner des friandises ou d'autres recettes culinaires ;</w:t>
      </w:r>
    </w:p>
    <w:p w:rsidR="00BB166C" w:rsidRPr="000C342D" w:rsidRDefault="00BB166C" w:rsidP="000E01B8">
      <w:pPr>
        <w:pStyle w:val="Point0"/>
        <w:spacing w:before="0" w:line="240" w:lineRule="auto"/>
        <w:jc w:val="both"/>
        <w:rPr>
          <w:rFonts w:eastAsia="Arial Unicode MS"/>
        </w:rPr>
      </w:pPr>
      <w:r w:rsidRPr="000C342D">
        <w:rPr>
          <w:rFonts w:eastAsia="Arial Unicode MS"/>
        </w:rPr>
        <w:t>26°</w:t>
      </w:r>
      <w:r w:rsidRPr="000C342D">
        <w:rPr>
          <w:rFonts w:eastAsia="Arial Unicode MS"/>
        </w:rPr>
        <w:tab/>
      </w:r>
      <w:r w:rsidRPr="000C342D">
        <w:rPr>
          <w:rFonts w:eastAsia="Arial Unicode MS"/>
          <w:i/>
        </w:rPr>
        <w:t xml:space="preserve">effet </w:t>
      </w:r>
      <w:r w:rsidRPr="000C342D">
        <w:rPr>
          <w:i/>
        </w:rPr>
        <w:t>dommageable</w:t>
      </w:r>
      <w:r w:rsidRPr="000C342D">
        <w:t> </w:t>
      </w:r>
      <w:r w:rsidRPr="000C342D">
        <w:rPr>
          <w:rFonts w:eastAsia="Arial Unicode MS"/>
        </w:rPr>
        <w:t>: une blessure physique ou tout autre effet néfaste pour la santé, en ce compris les effets à long terme ;</w:t>
      </w:r>
    </w:p>
    <w:p w:rsidR="00BB166C" w:rsidRPr="000C342D" w:rsidRDefault="00BB166C" w:rsidP="000E01B8">
      <w:pPr>
        <w:pStyle w:val="Point0"/>
        <w:spacing w:before="0" w:line="240" w:lineRule="auto"/>
        <w:jc w:val="both"/>
        <w:rPr>
          <w:rFonts w:eastAsia="Arial Unicode MS"/>
        </w:rPr>
      </w:pPr>
      <w:r w:rsidRPr="000C342D">
        <w:rPr>
          <w:rFonts w:eastAsia="Arial Unicode MS"/>
        </w:rPr>
        <w:t>27°</w:t>
      </w:r>
      <w:r w:rsidRPr="000C342D">
        <w:rPr>
          <w:rFonts w:eastAsia="Arial Unicode MS"/>
        </w:rPr>
        <w:tab/>
      </w:r>
      <w:r w:rsidRPr="000C342D">
        <w:rPr>
          <w:rFonts w:eastAsia="Arial Unicode MS"/>
          <w:i/>
        </w:rPr>
        <w:t>danger </w:t>
      </w:r>
      <w:r w:rsidRPr="000C342D">
        <w:rPr>
          <w:rFonts w:eastAsia="Arial Unicode MS"/>
        </w:rPr>
        <w:t>: une source potentielle d'effet dommageable ;</w:t>
      </w:r>
    </w:p>
    <w:p w:rsidR="00BB166C" w:rsidRPr="000C342D" w:rsidRDefault="00BB166C" w:rsidP="000E01B8">
      <w:pPr>
        <w:pStyle w:val="Point0"/>
        <w:spacing w:before="0" w:line="240" w:lineRule="auto"/>
        <w:jc w:val="both"/>
        <w:rPr>
          <w:rFonts w:eastAsia="Arial Unicode MS"/>
        </w:rPr>
      </w:pPr>
      <w:r w:rsidRPr="000C342D">
        <w:rPr>
          <w:rFonts w:eastAsia="Arial Unicode MS"/>
        </w:rPr>
        <w:t>28°</w:t>
      </w:r>
      <w:r w:rsidRPr="000C342D">
        <w:rPr>
          <w:rFonts w:eastAsia="Arial Unicode MS"/>
        </w:rPr>
        <w:tab/>
      </w:r>
      <w:r w:rsidRPr="000C342D">
        <w:rPr>
          <w:rFonts w:eastAsia="Arial Unicode MS"/>
          <w:i/>
        </w:rPr>
        <w:t>risque</w:t>
      </w:r>
      <w:r w:rsidRPr="000C342D">
        <w:rPr>
          <w:rFonts w:eastAsia="Arial Unicode MS"/>
        </w:rPr>
        <w:t> : un taux probable de fréquence d'un danger causant un effet dommageable et le degré de gravité de ce dernier ;</w:t>
      </w:r>
    </w:p>
    <w:p w:rsidR="00BB166C" w:rsidRPr="000C342D" w:rsidRDefault="00BB166C" w:rsidP="000E01B8">
      <w:pPr>
        <w:pStyle w:val="Point0"/>
        <w:spacing w:before="0" w:line="240" w:lineRule="auto"/>
        <w:jc w:val="both"/>
      </w:pPr>
      <w:r w:rsidRPr="000C342D">
        <w:rPr>
          <w:rFonts w:eastAsia="Arial Unicode MS"/>
        </w:rPr>
        <w:t>29°</w:t>
      </w:r>
      <w:r w:rsidRPr="000C342D">
        <w:rPr>
          <w:rFonts w:eastAsia="Arial Unicode MS"/>
        </w:rPr>
        <w:tab/>
      </w:r>
      <w:r w:rsidRPr="000C342D">
        <w:rPr>
          <w:i/>
        </w:rPr>
        <w:t>destiné à être utilisé par</w:t>
      </w:r>
      <w:r w:rsidRPr="000C342D">
        <w:t> : les parents ou la personne chargée de la surveillance peuvent raisonnablement déduire des fonctions, dimensions et caractéristiques d'un jouet que celui-ci est destiné à être utilisé par des enfants de la catégorie d'âge indiquée ;</w:t>
      </w:r>
    </w:p>
    <w:p w:rsidR="00BB166C" w:rsidRDefault="00BB166C" w:rsidP="000E01B8">
      <w:pPr>
        <w:pStyle w:val="Point0"/>
        <w:spacing w:before="0" w:line="240" w:lineRule="auto"/>
        <w:ind w:left="851" w:hanging="851"/>
        <w:jc w:val="both"/>
        <w:rPr>
          <w:rFonts w:eastAsia="Arial Unicode MS"/>
        </w:rPr>
      </w:pPr>
      <w:r w:rsidRPr="000C342D">
        <w:rPr>
          <w:rFonts w:eastAsia="Arial Unicode MS"/>
        </w:rPr>
        <w:t>30°</w:t>
      </w:r>
      <w:r w:rsidRPr="000C342D">
        <w:rPr>
          <w:rFonts w:eastAsia="Arial Unicode MS"/>
        </w:rPr>
        <w:tab/>
      </w:r>
      <w:r w:rsidRPr="000C342D">
        <w:rPr>
          <w:rFonts w:eastAsia="Arial Unicode MS"/>
          <w:i/>
        </w:rPr>
        <w:t>I</w:t>
      </w:r>
      <w:r>
        <w:rPr>
          <w:rFonts w:eastAsia="Arial Unicode MS"/>
          <w:i/>
        </w:rPr>
        <w:t>nstitut</w:t>
      </w:r>
      <w:r w:rsidRPr="000C342D">
        <w:rPr>
          <w:rFonts w:eastAsia="Arial Unicode MS"/>
        </w:rPr>
        <w:t> : Institut luxembourgeois de la normalisation, de l’accréditation, de la sécurité et q</w:t>
      </w:r>
      <w:r>
        <w:rPr>
          <w:rFonts w:eastAsia="Arial Unicode MS"/>
        </w:rPr>
        <w:t>ualité des produits et services créé par la loi du 28 mai 2008 ;</w:t>
      </w:r>
    </w:p>
    <w:p w:rsidR="00BB166C" w:rsidRPr="00A66E4A" w:rsidRDefault="00BB166C" w:rsidP="000E01B8">
      <w:pPr>
        <w:pStyle w:val="Point0"/>
        <w:spacing w:before="0" w:line="240" w:lineRule="auto"/>
        <w:ind w:left="851" w:hanging="851"/>
        <w:jc w:val="both"/>
        <w:rPr>
          <w:rFonts w:eastAsia="Arial Unicode MS"/>
          <w:color w:val="000000"/>
        </w:rPr>
      </w:pPr>
      <w:r w:rsidRPr="00A66E4A">
        <w:rPr>
          <w:rFonts w:eastAsia="Arial Unicode MS"/>
          <w:color w:val="000000"/>
        </w:rPr>
        <w:t>31°</w:t>
      </w:r>
      <w:r w:rsidRPr="00A66E4A">
        <w:rPr>
          <w:rFonts w:eastAsia="Arial Unicode MS"/>
          <w:color w:val="000000"/>
        </w:rPr>
        <w:tab/>
      </w:r>
      <w:r w:rsidRPr="00A66E4A">
        <w:rPr>
          <w:rFonts w:eastAsia="Arial Unicode MS"/>
          <w:i/>
          <w:color w:val="000000"/>
        </w:rPr>
        <w:t>décision n° 768/2008/CE</w:t>
      </w:r>
      <w:r w:rsidRPr="00A66E4A">
        <w:rPr>
          <w:rFonts w:eastAsia="Arial Unicode MS"/>
          <w:color w:val="000000"/>
        </w:rPr>
        <w:t> : décision du Parlement Européen et du Conseil du 9 juillet 2008 relative à un cadre commun pour la commercialisation des produits et abrogeant la décision 93/465/CEE du Conseil ;</w:t>
      </w:r>
    </w:p>
    <w:p w:rsidR="00BB166C" w:rsidRPr="00A66E4A" w:rsidRDefault="00BB166C" w:rsidP="000E01B8">
      <w:pPr>
        <w:pStyle w:val="Point0"/>
        <w:spacing w:before="0" w:line="240" w:lineRule="auto"/>
        <w:ind w:left="851" w:hanging="851"/>
        <w:jc w:val="both"/>
        <w:rPr>
          <w:color w:val="000000"/>
        </w:rPr>
      </w:pPr>
      <w:r w:rsidRPr="00A66E4A">
        <w:rPr>
          <w:rFonts w:eastAsia="Arial Unicode MS"/>
          <w:color w:val="000000"/>
        </w:rPr>
        <w:t>32°</w:t>
      </w:r>
      <w:r w:rsidRPr="00A66E4A">
        <w:rPr>
          <w:rFonts w:eastAsia="Arial Unicode MS"/>
          <w:color w:val="000000"/>
        </w:rPr>
        <w:tab/>
      </w:r>
      <w:r w:rsidRPr="00A66E4A">
        <w:rPr>
          <w:i/>
          <w:color w:val="000000"/>
        </w:rPr>
        <w:t>règlement (CE) n</w:t>
      </w:r>
      <w:r w:rsidRPr="00A66E4A">
        <w:rPr>
          <w:i/>
          <w:color w:val="000000"/>
          <w:vertAlign w:val="superscript"/>
        </w:rPr>
        <w:t>o</w:t>
      </w:r>
      <w:r w:rsidRPr="00A66E4A">
        <w:rPr>
          <w:i/>
          <w:color w:val="000000"/>
        </w:rPr>
        <w:t xml:space="preserve"> 765/2008 </w:t>
      </w:r>
      <w:r w:rsidRPr="00A66E4A">
        <w:rPr>
          <w:color w:val="000000"/>
        </w:rPr>
        <w:t>: règlement du Parlement Européen et du Conseil du 9 juillet 2008 fixant les prescriptions relatives à l'accréditation et à la surveillance du marché pour la commercialisation des produits et abrogeant le règlement (CEE) n</w:t>
      </w:r>
      <w:r w:rsidRPr="00A66E4A">
        <w:rPr>
          <w:color w:val="000000"/>
          <w:sz w:val="13"/>
          <w:szCs w:val="13"/>
        </w:rPr>
        <w:t xml:space="preserve">o </w:t>
      </w:r>
      <w:r w:rsidRPr="00A66E4A">
        <w:rPr>
          <w:color w:val="000000"/>
        </w:rPr>
        <w:t>339/93 du Conseil ;</w:t>
      </w:r>
    </w:p>
    <w:p w:rsidR="00BB166C" w:rsidRDefault="00BB166C" w:rsidP="000E01B8">
      <w:pPr>
        <w:pStyle w:val="Point0"/>
        <w:spacing w:before="0" w:line="240" w:lineRule="auto"/>
        <w:ind w:left="851" w:hanging="851"/>
        <w:jc w:val="both"/>
      </w:pPr>
      <w:r>
        <w:t>33°</w:t>
      </w:r>
      <w:r>
        <w:tab/>
      </w:r>
      <w:r w:rsidRPr="00AC7866">
        <w:rPr>
          <w:i/>
        </w:rPr>
        <w:t>loi du 20 mai 2008</w:t>
      </w:r>
      <w:r>
        <w:t xml:space="preserve"> : loi </w:t>
      </w:r>
      <w:r w:rsidRPr="00AC7866">
        <w:t>relative à la création d’un Institut luxembourgeois de la normalisation, de l’accréditation, de la sécurité et qualité des produits et services</w:t>
      </w:r>
      <w:r>
        <w:t> ;</w:t>
      </w:r>
    </w:p>
    <w:p w:rsidR="00BB166C" w:rsidRPr="00552DB3" w:rsidRDefault="00BB166C" w:rsidP="000E01B8">
      <w:pPr>
        <w:pStyle w:val="Point0"/>
        <w:spacing w:before="0" w:after="360" w:line="240" w:lineRule="auto"/>
        <w:ind w:left="851" w:hanging="851"/>
        <w:jc w:val="both"/>
      </w:pPr>
      <w:r>
        <w:t>34°</w:t>
      </w:r>
      <w:r>
        <w:tab/>
      </w:r>
      <w:r w:rsidRPr="00BC4803">
        <w:rPr>
          <w:i/>
        </w:rPr>
        <w:t>loi du 24 février 1984</w:t>
      </w:r>
      <w:r>
        <w:t> : loi sur le régime des langues.</w:t>
      </w:r>
    </w:p>
    <w:p w:rsidR="00BB166C" w:rsidRPr="000C342D" w:rsidRDefault="00BB166C" w:rsidP="000E01B8">
      <w:pPr>
        <w:spacing w:before="0" w:after="240" w:line="240" w:lineRule="auto"/>
        <w:jc w:val="center"/>
        <w:rPr>
          <w:b/>
        </w:rPr>
      </w:pPr>
      <w:r w:rsidRPr="000C342D">
        <w:rPr>
          <w:b/>
        </w:rPr>
        <w:t>Chapitre 2.</w:t>
      </w:r>
      <w:bookmarkStart w:id="2" w:name="_Toc184010870"/>
      <w:r w:rsidRPr="000C342D">
        <w:rPr>
          <w:b/>
        </w:rPr>
        <w:t xml:space="preserve"> Obligations </w:t>
      </w:r>
      <w:bookmarkEnd w:id="2"/>
      <w:r w:rsidRPr="000C342D">
        <w:rPr>
          <w:b/>
        </w:rPr>
        <w:t>des opérateurs économiques</w:t>
      </w:r>
    </w:p>
    <w:p w:rsidR="00BB166C" w:rsidRPr="000C342D" w:rsidRDefault="00BB166C" w:rsidP="000E01B8">
      <w:pPr>
        <w:spacing w:before="0" w:line="240" w:lineRule="auto"/>
        <w:rPr>
          <w:b/>
        </w:rPr>
      </w:pPr>
      <w:r w:rsidRPr="000C342D">
        <w:rPr>
          <w:b/>
        </w:rPr>
        <w:t xml:space="preserve">Art. 4. - </w:t>
      </w:r>
      <w:r w:rsidRPr="000C342D">
        <w:rPr>
          <w:b/>
          <w:i/>
        </w:rPr>
        <w:t>Obligations des fabricants</w:t>
      </w:r>
    </w:p>
    <w:p w:rsidR="00BB166C" w:rsidRPr="00540DBC" w:rsidRDefault="00BB166C" w:rsidP="000E01B8">
      <w:pPr>
        <w:pStyle w:val="ManualNumPar1"/>
        <w:spacing w:before="0" w:line="240" w:lineRule="auto"/>
        <w:jc w:val="both"/>
      </w:pPr>
      <w:r w:rsidRPr="000C342D">
        <w:t>(1)</w:t>
      </w:r>
      <w:r w:rsidRPr="000C342D">
        <w:tab/>
        <w:t xml:space="preserve">Lorsqu'ils mettent leurs jouets sur le marché, les fabricants s'assurent que ceux-ci ont été </w:t>
      </w:r>
      <w:r w:rsidRPr="00540DBC">
        <w:t>conçus et fabriqués conformément aux exigences visées à l'article 10 et à l'annexe II.</w:t>
      </w:r>
    </w:p>
    <w:p w:rsidR="00BB166C" w:rsidRPr="00FC532B" w:rsidRDefault="00BB166C" w:rsidP="000E01B8">
      <w:pPr>
        <w:pStyle w:val="ManualNumPar1"/>
        <w:spacing w:before="0" w:line="240" w:lineRule="auto"/>
        <w:jc w:val="both"/>
      </w:pPr>
      <w:r w:rsidRPr="00FC532B">
        <w:t>(2)</w:t>
      </w:r>
      <w:r w:rsidRPr="00FC532B">
        <w:tab/>
        <w:t xml:space="preserve">Les fabricants rédigent </w:t>
      </w:r>
      <w:r w:rsidRPr="009F400F">
        <w:t>la documentation technique exigée</w:t>
      </w:r>
      <w:r w:rsidRPr="00FC532B">
        <w:t xml:space="preserve"> conformément à l'article 20 et effectuent, ou ont effectué, la procédure d'évaluation de la conformité applicable conformément à l'article 18.</w:t>
      </w:r>
    </w:p>
    <w:p w:rsidR="00BB166C" w:rsidRPr="00FC532B" w:rsidRDefault="00BB166C" w:rsidP="000E01B8">
      <w:pPr>
        <w:pStyle w:val="Text1"/>
        <w:spacing w:before="0" w:line="240" w:lineRule="auto"/>
        <w:jc w:val="both"/>
      </w:pPr>
      <w:r w:rsidRPr="00FC532B">
        <w:t>Lorsqu'il a été démontré, à l'aide de cette procédure, que le jouet respecte les exigences applicables, les fabricants établissent une déclaration « CE » de conformité, telle que visée à l'article 14, et apposent le marquage CE visé à l'article 16, paragraphe 1.</w:t>
      </w:r>
    </w:p>
    <w:p w:rsidR="00BB166C" w:rsidRPr="000C342D" w:rsidRDefault="00BB166C" w:rsidP="000E01B8">
      <w:pPr>
        <w:pStyle w:val="ManualNumPar1"/>
        <w:spacing w:before="0" w:line="240" w:lineRule="auto"/>
        <w:jc w:val="both"/>
      </w:pPr>
      <w:r w:rsidRPr="000C342D">
        <w:t>(3)</w:t>
      </w:r>
      <w:r w:rsidRPr="000C342D">
        <w:tab/>
        <w:t xml:space="preserve">Les fabricants conservent </w:t>
      </w:r>
      <w:r w:rsidRPr="009F400F">
        <w:t>la documentation technique</w:t>
      </w:r>
      <w:r w:rsidRPr="000C342D">
        <w:t xml:space="preserve"> et la déclaration « CE » de conformité pendant une durée de dix ans à partir de la mise </w:t>
      </w:r>
      <w:r w:rsidRPr="009F400F">
        <w:t>du jouet sur le marché</w:t>
      </w:r>
      <w:r w:rsidRPr="000C342D">
        <w:t>.</w:t>
      </w:r>
    </w:p>
    <w:p w:rsidR="00BB166C" w:rsidRPr="000C342D" w:rsidRDefault="00BB166C" w:rsidP="000E01B8">
      <w:pPr>
        <w:pStyle w:val="ManualNumPar1"/>
        <w:spacing w:before="0" w:line="240" w:lineRule="auto"/>
        <w:jc w:val="both"/>
        <w:rPr>
          <w:lang w:eastAsia="zh-CN"/>
        </w:rPr>
      </w:pPr>
      <w:r w:rsidRPr="000C342D" w:rsidDel="001E1FB4">
        <w:t xml:space="preserve"> </w:t>
      </w:r>
      <w:r w:rsidRPr="000C342D">
        <w:t>(4)</w:t>
      </w:r>
      <w:r w:rsidRPr="000C342D">
        <w:tab/>
        <w:t>Les fabricants veillent à ce que des procédures soient en place pour que la production en série reste conforme. Il est dûment tenu compte des modifications de la conception ou des caractéristiques du jouet ainsi que des modifications des normes harmonisées par rapport auxquelles la conformité d'un jouet est déclarée.</w:t>
      </w:r>
    </w:p>
    <w:p w:rsidR="00BB166C" w:rsidRPr="000C342D" w:rsidRDefault="00BB166C" w:rsidP="000E01B8">
      <w:pPr>
        <w:pStyle w:val="Text1"/>
        <w:spacing w:before="0" w:line="240" w:lineRule="auto"/>
        <w:jc w:val="both"/>
      </w:pPr>
      <w:r w:rsidRPr="000C342D">
        <w:t>Lorsque cela est jugé approprié eu égard aux risques présentés par un jouet, les fabricants effectuent, pour protéger la santé et la sécurité des consommateurs, des essais par sondage sur les jouets commercialisés, enquêtent sur les réclamations et, le cas échéant, tiennent un registre de celles-ci ainsi que des jouets non conformes et rappelés,</w:t>
      </w:r>
      <w:r w:rsidRPr="000C342D">
        <w:rPr>
          <w:b/>
        </w:rPr>
        <w:t xml:space="preserve"> </w:t>
      </w:r>
      <w:r w:rsidRPr="000C342D">
        <w:t>et informent les distributeurs d'un tel suivi.</w:t>
      </w:r>
    </w:p>
    <w:p w:rsidR="00BB166C" w:rsidRPr="000C342D" w:rsidRDefault="00BB166C" w:rsidP="000E01B8">
      <w:pPr>
        <w:pStyle w:val="ManualNumPar1"/>
        <w:spacing w:before="0" w:line="240" w:lineRule="auto"/>
        <w:jc w:val="both"/>
      </w:pPr>
      <w:r w:rsidRPr="000C342D">
        <w:t>(5)</w:t>
      </w:r>
      <w:r w:rsidRPr="000C342D">
        <w:tab/>
        <w:t>Les fabricants veillent à ce que leurs jouets portent un numéro de type, de lot, de série ou de modèle ou tout autre élément permettant leur identification ou, lorsque la taille ou la nature du jouet ne le permet pas, que les information requises figurent sur l'emballage ou dans un document accompagnant le jouet.</w:t>
      </w:r>
    </w:p>
    <w:p w:rsidR="00BB166C" w:rsidRPr="000C342D" w:rsidRDefault="00BB166C" w:rsidP="000E01B8">
      <w:pPr>
        <w:pStyle w:val="ManualNumPar1"/>
        <w:spacing w:before="0" w:line="240" w:lineRule="auto"/>
        <w:jc w:val="both"/>
      </w:pPr>
      <w:r w:rsidRPr="000C342D">
        <w:t>(6)</w:t>
      </w:r>
      <w:r w:rsidRPr="000C342D">
        <w:tab/>
        <w:t xml:space="preserve">Les fabricants indiquent sur le jouet leur nom, </w:t>
      </w:r>
      <w:r>
        <w:t>leur raison sociale</w:t>
      </w:r>
      <w:r w:rsidRPr="000C342D">
        <w:t xml:space="preserve"> ou </w:t>
      </w:r>
      <w:r w:rsidRPr="006A514C">
        <w:t>leur</w:t>
      </w:r>
      <w:r w:rsidRPr="000C342D">
        <w:t xml:space="preserve"> marque déposée et l'adresse à laquelle ils peuvent être contactés ou, lorsque cela n'est pas possible, sur son emballage ou dans un document accompagnant le jouet. L'adresse indique un seul endroit où le fabricant peut être contacté.</w:t>
      </w:r>
    </w:p>
    <w:p w:rsidR="00BB166C" w:rsidRPr="003221CE" w:rsidRDefault="00BB166C" w:rsidP="000E01B8">
      <w:pPr>
        <w:pStyle w:val="ManualNumPar1"/>
        <w:spacing w:before="0" w:line="240" w:lineRule="auto"/>
        <w:jc w:val="both"/>
      </w:pPr>
      <w:r w:rsidRPr="003221CE">
        <w:t>(7)</w:t>
      </w:r>
      <w:r w:rsidRPr="003221CE">
        <w:tab/>
        <w:t>Les fabricants veillent à ce que le jouet soit accompagné d'instructions et d'informations de sécurité rédigées dans au moins une des trois langues administratives désignées dans la loi du 24 février 1984.</w:t>
      </w:r>
    </w:p>
    <w:p w:rsidR="00BB166C" w:rsidRPr="000C342D" w:rsidRDefault="00BB166C" w:rsidP="000E01B8">
      <w:pPr>
        <w:pStyle w:val="ManualNumPar1"/>
        <w:spacing w:before="0" w:line="240" w:lineRule="auto"/>
        <w:jc w:val="both"/>
      </w:pPr>
      <w:r w:rsidRPr="000C342D">
        <w:t>(8)</w:t>
      </w:r>
      <w:r w:rsidRPr="000C342D">
        <w:tab/>
        <w:t>Les fabricants qui considèrent, ou ont des raisons de croire, qu'un jouet qu'ils ont mis sur le marché n'est pas conforme à la législation communautaire d'harmonisation applicable, prennent immédiatement les mesures correctives nécessaires pour le mettre en conformité, le retirer ou le rappeler, si nécessaire. En outre, si le jouet présente un risque, les fabricants en</w:t>
      </w:r>
      <w:r>
        <w:t xml:space="preserve"> informent immédiatement l’Institut et les </w:t>
      </w:r>
      <w:r w:rsidRPr="000C342D">
        <w:t>autorités nationales compétentes des États membres dans lesquels ils ont mis le jouet à disposition, en fournissant des précisions, notamment, sur la non-conformité et toute mesure corrective adoptée.</w:t>
      </w:r>
    </w:p>
    <w:p w:rsidR="00BB166C" w:rsidRPr="003221CE" w:rsidRDefault="00BB166C" w:rsidP="000E01B8">
      <w:pPr>
        <w:pStyle w:val="ManualNumPar1"/>
        <w:spacing w:before="0" w:after="240" w:line="240" w:lineRule="auto"/>
        <w:ind w:left="851" w:hanging="851"/>
        <w:jc w:val="both"/>
      </w:pPr>
      <w:r w:rsidRPr="003221CE">
        <w:t>(9)</w:t>
      </w:r>
      <w:r w:rsidRPr="003221CE">
        <w:tab/>
        <w:t xml:space="preserve">À la demande motivée de l’Institut, les fabricants lui communiquent toutes les informations et tous les documents nécessaires pour démontrer la conformité du jouet, en anglais ou dans une des </w:t>
      </w:r>
      <w:r>
        <w:t>trois</w:t>
      </w:r>
      <w:r w:rsidRPr="003221CE">
        <w:t xml:space="preserve"> langues administratives désignées dans la loi du 24 février 1984. Ils coopèrent, à la demande de l’Institut, à toute mesure prise pour éliminer les risques présentés par des jouets qu'ils ont mis sur le marché.</w:t>
      </w:r>
    </w:p>
    <w:p w:rsidR="00BB166C" w:rsidRPr="000C342D" w:rsidRDefault="00BB166C" w:rsidP="000E01B8">
      <w:pPr>
        <w:spacing w:before="0" w:line="240" w:lineRule="auto"/>
        <w:rPr>
          <w:b/>
        </w:rPr>
      </w:pPr>
      <w:r w:rsidRPr="000C342D">
        <w:rPr>
          <w:b/>
        </w:rPr>
        <w:t xml:space="preserve">Art. 5. - </w:t>
      </w:r>
      <w:r w:rsidRPr="000C342D">
        <w:rPr>
          <w:b/>
          <w:i/>
        </w:rPr>
        <w:t>Mandataires</w:t>
      </w:r>
    </w:p>
    <w:p w:rsidR="00BB166C" w:rsidRPr="000C342D" w:rsidRDefault="00BB166C" w:rsidP="000E01B8">
      <w:pPr>
        <w:pStyle w:val="ManualNumPar1"/>
        <w:spacing w:before="0" w:line="240" w:lineRule="auto"/>
        <w:jc w:val="both"/>
      </w:pPr>
      <w:r w:rsidRPr="000C342D">
        <w:t>(1)</w:t>
      </w:r>
      <w:r w:rsidRPr="000C342D">
        <w:tab/>
        <w:t>Un fabricant peut désigner, par mandat écrit, un mandataire.</w:t>
      </w:r>
    </w:p>
    <w:p w:rsidR="00BB166C" w:rsidRPr="000C342D" w:rsidRDefault="00BB166C" w:rsidP="000E01B8">
      <w:pPr>
        <w:pStyle w:val="ManualNumPar1"/>
        <w:spacing w:before="0" w:line="240" w:lineRule="auto"/>
        <w:jc w:val="both"/>
      </w:pPr>
      <w:r w:rsidRPr="000C342D">
        <w:t>(2)</w:t>
      </w:r>
      <w:r w:rsidRPr="000C342D">
        <w:tab/>
        <w:t xml:space="preserve">Les obligations prévues à l'article 4, paragraphe 1, et l'établissement du </w:t>
      </w:r>
      <w:r>
        <w:t>documentation technique</w:t>
      </w:r>
      <w:r w:rsidRPr="000C342D">
        <w:t xml:space="preserve"> ne peuvent être confiés au mandataire.</w:t>
      </w:r>
    </w:p>
    <w:p w:rsidR="00BB166C" w:rsidRPr="000C342D" w:rsidRDefault="00BB166C" w:rsidP="000E01B8">
      <w:pPr>
        <w:pStyle w:val="ManualNumPar1"/>
        <w:spacing w:before="0" w:line="240" w:lineRule="auto"/>
        <w:jc w:val="both"/>
      </w:pPr>
      <w:r w:rsidRPr="000C342D">
        <w:t>(3)</w:t>
      </w:r>
      <w:r w:rsidRPr="000C342D">
        <w:tab/>
        <w:t>Le mandataire exécute les tâches spécifiées dans le mandat reçu du fabricant. Le mandat autorise le mandataire, au minimum :</w:t>
      </w:r>
    </w:p>
    <w:p w:rsidR="00BB166C" w:rsidRPr="000C342D" w:rsidRDefault="00BB166C" w:rsidP="000E01B8">
      <w:pPr>
        <w:pStyle w:val="Point1"/>
        <w:spacing w:before="0" w:line="240" w:lineRule="auto"/>
        <w:jc w:val="both"/>
      </w:pPr>
      <w:r w:rsidRPr="000C342D">
        <w:t>a)</w:t>
      </w:r>
      <w:r w:rsidRPr="000C342D">
        <w:tab/>
        <w:t xml:space="preserve">à tenir la déclaration « CE » de conformité et la documentation technique à la disposition de </w:t>
      </w:r>
      <w:r>
        <w:t>l’Institut</w:t>
      </w:r>
      <w:r w:rsidRPr="000C342D">
        <w:t xml:space="preserve"> pendant une durée de dix ans à partir de la mise </w:t>
      </w:r>
      <w:r>
        <w:t>du jouet sur le marché</w:t>
      </w:r>
      <w:r w:rsidRPr="000C342D">
        <w:t> ;</w:t>
      </w:r>
    </w:p>
    <w:p w:rsidR="00BB166C" w:rsidRPr="000C342D" w:rsidRDefault="00BB166C" w:rsidP="000E01B8">
      <w:pPr>
        <w:pStyle w:val="Point1"/>
        <w:spacing w:before="0" w:line="240" w:lineRule="auto"/>
        <w:jc w:val="both"/>
      </w:pPr>
      <w:r w:rsidRPr="000C342D">
        <w:t>b)</w:t>
      </w:r>
      <w:r>
        <w:tab/>
      </w:r>
      <w:r w:rsidRPr="00DF00FB">
        <w:t>à la</w:t>
      </w:r>
      <w:r>
        <w:t xml:space="preserve"> demande motivée de l’Institut</w:t>
      </w:r>
      <w:r w:rsidRPr="000C342D">
        <w:t>, à lui communiquer toutes les informations et tous les documents nécessaires po</w:t>
      </w:r>
      <w:r>
        <w:t xml:space="preserve">ur démontrer la conformité d'un </w:t>
      </w:r>
      <w:r w:rsidRPr="000C342D">
        <w:t>jouet ;</w:t>
      </w:r>
    </w:p>
    <w:p w:rsidR="00BB166C" w:rsidRPr="000C342D" w:rsidRDefault="00BB166C" w:rsidP="000E01B8">
      <w:pPr>
        <w:pStyle w:val="Point1"/>
        <w:spacing w:before="0" w:after="240" w:line="240" w:lineRule="auto"/>
        <w:ind w:left="1418"/>
        <w:jc w:val="both"/>
      </w:pPr>
      <w:r w:rsidRPr="000C342D">
        <w:t>c)</w:t>
      </w:r>
      <w:r w:rsidRPr="000C342D">
        <w:tab/>
        <w:t>à coopér</w:t>
      </w:r>
      <w:r>
        <w:t>er à la demande de l’Institut</w:t>
      </w:r>
      <w:r w:rsidRPr="000C342D">
        <w:t xml:space="preserve"> à toute mesure prise pour éliminer les risques présentés par les jouets couverts par le mandat.</w:t>
      </w:r>
    </w:p>
    <w:p w:rsidR="00BB166C" w:rsidRPr="000C342D" w:rsidRDefault="00BB166C" w:rsidP="000E01B8">
      <w:pPr>
        <w:spacing w:before="0" w:line="240" w:lineRule="auto"/>
        <w:rPr>
          <w:b/>
        </w:rPr>
      </w:pPr>
      <w:r w:rsidRPr="000C342D">
        <w:rPr>
          <w:b/>
        </w:rPr>
        <w:t xml:space="preserve">Art. 6. - </w:t>
      </w:r>
      <w:r w:rsidRPr="000C342D">
        <w:rPr>
          <w:b/>
          <w:i/>
        </w:rPr>
        <w:t>Obligations des importateurs</w:t>
      </w:r>
    </w:p>
    <w:p w:rsidR="00BB166C" w:rsidRPr="000C342D" w:rsidRDefault="00BB166C" w:rsidP="000E01B8">
      <w:pPr>
        <w:pStyle w:val="ManualNumPar1"/>
        <w:spacing w:before="0" w:line="240" w:lineRule="auto"/>
        <w:jc w:val="both"/>
      </w:pPr>
      <w:r w:rsidRPr="000C342D">
        <w:t>(1)</w:t>
      </w:r>
      <w:r w:rsidRPr="000C342D">
        <w:tab/>
        <w:t>Les importateurs ne mettent sur le marché</w:t>
      </w:r>
      <w:r>
        <w:t xml:space="preserve"> communautaire</w:t>
      </w:r>
      <w:r w:rsidRPr="000C342D">
        <w:t xml:space="preserve"> que des jouets conformes.</w:t>
      </w:r>
    </w:p>
    <w:p w:rsidR="00BB166C" w:rsidRPr="000C342D" w:rsidRDefault="00BB166C" w:rsidP="000E01B8">
      <w:pPr>
        <w:pStyle w:val="ManualNumPar1"/>
        <w:spacing w:before="0" w:line="240" w:lineRule="auto"/>
        <w:jc w:val="both"/>
      </w:pPr>
      <w:r w:rsidRPr="000C342D">
        <w:t>(2)</w:t>
      </w:r>
      <w:r w:rsidRPr="000C342D">
        <w:tab/>
        <w:t>Avant de mettre un jouet sur le marché, les importateurs s'assurent que la procédure appropriée d'évaluation de la conformité a été appliquée par le fabricant.</w:t>
      </w:r>
    </w:p>
    <w:p w:rsidR="00BB166C" w:rsidRPr="000C342D" w:rsidRDefault="00BB166C" w:rsidP="000E01B8">
      <w:pPr>
        <w:pStyle w:val="Text1"/>
        <w:spacing w:before="0" w:line="240" w:lineRule="auto"/>
        <w:jc w:val="both"/>
      </w:pPr>
      <w:r w:rsidRPr="000C342D">
        <w:t xml:space="preserve">Ils s'assurent que le fabricant a établi la documentation </w:t>
      </w:r>
      <w:r w:rsidRPr="00DF00FB">
        <w:t>technique</w:t>
      </w:r>
      <w:r>
        <w:t xml:space="preserve"> </w:t>
      </w:r>
      <w:r w:rsidRPr="000C342D">
        <w:t>relative au produit, que le jouet porte le marquage de conformité requis, qu'il est accompagné des documents nécessaires et que le fabricant a satisfait aux exigences visées à l'article 4, paragraphes 5 et 6.</w:t>
      </w:r>
    </w:p>
    <w:p w:rsidR="00BB166C" w:rsidRPr="000C342D" w:rsidRDefault="00BB166C" w:rsidP="000E01B8">
      <w:pPr>
        <w:pStyle w:val="Text1"/>
        <w:spacing w:before="0" w:line="240" w:lineRule="auto"/>
        <w:jc w:val="both"/>
        <w:rPr>
          <w:lang w:eastAsia="zh-CN"/>
        </w:rPr>
      </w:pPr>
      <w:r w:rsidRPr="000C342D">
        <w:t xml:space="preserve">Lorsqu'un importateur considère, ou a des raisons de croire, qu'un jouet n'est pas conforme </w:t>
      </w:r>
      <w:r w:rsidRPr="00540DBC">
        <w:t>aux exigences visées à l'article 10 et à l'annexe II, il ne met pas le</w:t>
      </w:r>
      <w:r w:rsidRPr="000C342D">
        <w:t xml:space="preserve"> jouet sur le marché tant </w:t>
      </w:r>
      <w:r>
        <w:t>le jouet</w:t>
      </w:r>
      <w:r w:rsidRPr="000C342D">
        <w:t xml:space="preserve"> n'a pas été mis en conformité avec ces exigences. En outre, dans le cas où le jouet présente un risque, l'importateur en inform</w:t>
      </w:r>
      <w:r>
        <w:t>e le fabricant ainsi que l’Institut</w:t>
      </w:r>
      <w:r w:rsidRPr="000C342D">
        <w:t>.</w:t>
      </w:r>
    </w:p>
    <w:p w:rsidR="00BB166C" w:rsidRPr="000C342D" w:rsidRDefault="00BB166C" w:rsidP="000E01B8">
      <w:pPr>
        <w:pStyle w:val="ManualNumPar1"/>
        <w:spacing w:before="0" w:line="240" w:lineRule="auto"/>
        <w:jc w:val="both"/>
      </w:pPr>
      <w:r w:rsidRPr="000C342D">
        <w:t>(3)</w:t>
      </w:r>
      <w:r w:rsidRPr="000C342D">
        <w:tab/>
        <w:t>Les importateurs indiquent leur nom, leur raison sociale ou leur marque déposée et l'adresse à laquelle ils peuvent être contactés sur le jouet ou, lorsque cela n'est pas possible, sur son emballage ou dans un document accompagnant le jouet.</w:t>
      </w:r>
    </w:p>
    <w:p w:rsidR="00BB166C" w:rsidRPr="00F03572" w:rsidRDefault="00BB166C" w:rsidP="000E01B8">
      <w:pPr>
        <w:pStyle w:val="ManualNumPar1"/>
        <w:spacing w:before="0" w:line="240" w:lineRule="auto"/>
        <w:jc w:val="both"/>
      </w:pPr>
      <w:r w:rsidRPr="00F03572">
        <w:t>(4)</w:t>
      </w:r>
      <w:r w:rsidRPr="00F03572">
        <w:tab/>
        <w:t>Les importateurs veillent à ce que le jouet soit accompagné d'instructions et d'informations de sécurité dans aux moins une des trois langues administratives désignées dans la loi du 24 février 1984.</w:t>
      </w:r>
    </w:p>
    <w:p w:rsidR="00BB166C" w:rsidRPr="00540DBC" w:rsidRDefault="00BB166C" w:rsidP="000E01B8">
      <w:pPr>
        <w:pStyle w:val="ManualNumPar1"/>
        <w:spacing w:before="0" w:line="240" w:lineRule="auto"/>
        <w:jc w:val="both"/>
      </w:pPr>
      <w:r w:rsidRPr="000C342D">
        <w:t>(5)</w:t>
      </w:r>
      <w:r w:rsidRPr="000C342D">
        <w:tab/>
        <w:t xml:space="preserve">Tant qu'un jouet est sous leur responsabilité, les importateurs s'assurent que les conditions de stockage ou de transport ne compromettent pas sa conformité avec les exigences visées </w:t>
      </w:r>
      <w:r w:rsidRPr="00540DBC">
        <w:t>à l'article 10 et à l'annexe II.</w:t>
      </w:r>
    </w:p>
    <w:p w:rsidR="00BB166C" w:rsidRPr="000C342D" w:rsidRDefault="00BB166C" w:rsidP="000E01B8">
      <w:pPr>
        <w:pStyle w:val="ManualNumPar1"/>
        <w:spacing w:before="0" w:line="240" w:lineRule="auto"/>
        <w:jc w:val="both"/>
      </w:pPr>
      <w:r w:rsidRPr="000C342D">
        <w:t>(6)</w:t>
      </w:r>
      <w:r w:rsidRPr="000C342D">
        <w:tab/>
        <w:t>Lorsqu'une telle mesure apparaît nécessaire compte tenu des risques présentés par un jouet, les importateurs effectuent, aux fins de la protection de la santé et de la sécurité des consommateurs, des essais par sondage sur les jouets commercialisés, examinent les réclamations, les jouets non conformes et les rappels de jouets et, le cas échéant, tiennent un registre en la matière, et informent les distributeurs de ce suivi.</w:t>
      </w:r>
    </w:p>
    <w:p w:rsidR="00BB166C" w:rsidRPr="000C342D" w:rsidRDefault="00BB166C" w:rsidP="000E01B8">
      <w:pPr>
        <w:pStyle w:val="ManualNumPar1"/>
        <w:spacing w:before="0" w:line="240" w:lineRule="auto"/>
        <w:jc w:val="both"/>
      </w:pPr>
      <w:r w:rsidRPr="000C342D">
        <w:t>(7)</w:t>
      </w:r>
      <w:r w:rsidRPr="000C342D">
        <w:tab/>
        <w:t xml:space="preserve">Les importateurs qui considèrent, ou ont des raisons de croire, qu'un jouet qu'ils ont mis sur le marché n'est pas conforme à la législation communautaire d'harmonisation applicable, prennent immédiatement les mesures correctives nécessaires pour le mettre en conformité, le retirer ou </w:t>
      </w:r>
      <w:r w:rsidRPr="004E5A04">
        <w:t>le rappeler,</w:t>
      </w:r>
      <w:r w:rsidRPr="000C342D">
        <w:t xml:space="preserve"> si nécessaire. En outre, au cas où le jouet présente un risque, les importateurs en</w:t>
      </w:r>
      <w:r>
        <w:t xml:space="preserve"> informent immédiatement l’Institut</w:t>
      </w:r>
      <w:r w:rsidRPr="000C342D">
        <w:t xml:space="preserve"> et les autres autorités nationales compétentes des États membres dans lesquels ils ont mis le jouet à disposition, en fournissant des précisions, notamment, sur la non-conformité et sur toute mesure corrective adoptée.</w:t>
      </w:r>
    </w:p>
    <w:p w:rsidR="00BB166C" w:rsidRPr="000C342D" w:rsidRDefault="00BB166C" w:rsidP="000E01B8">
      <w:pPr>
        <w:pStyle w:val="ManualNumPar1"/>
        <w:spacing w:before="0" w:line="240" w:lineRule="auto"/>
        <w:ind w:left="851" w:hanging="851"/>
        <w:jc w:val="both"/>
      </w:pPr>
      <w:r w:rsidRPr="000C342D">
        <w:t>(8)</w:t>
      </w:r>
      <w:r w:rsidRPr="000C342D">
        <w:tab/>
        <w:t>Pendant une durée de dix ans à partir de la mise sur le marché du jouet, les importateurs tiennent une copie de la déclaration « CE » de conformité à la disposition de et s'assurent que la documentation technique peut être fournie à ces autorités, sur demande.</w:t>
      </w:r>
    </w:p>
    <w:p w:rsidR="00BB166C" w:rsidRPr="00F03572" w:rsidRDefault="00BB166C" w:rsidP="000E01B8">
      <w:pPr>
        <w:pStyle w:val="ManualNumPar1"/>
        <w:spacing w:before="0" w:after="240" w:line="240" w:lineRule="auto"/>
        <w:ind w:left="851" w:hanging="851"/>
        <w:jc w:val="both"/>
      </w:pPr>
      <w:r w:rsidRPr="000C342D">
        <w:t>(9)</w:t>
      </w:r>
      <w:r>
        <w:tab/>
        <w:t>À la demande motivée de l’Institut</w:t>
      </w:r>
      <w:r w:rsidRPr="000C342D">
        <w:t xml:space="preserve">, les importateurs lui communiquent toutes les </w:t>
      </w:r>
      <w:r w:rsidRPr="00F03572">
        <w:t xml:space="preserve">informations et tous les documents nécessaires pour démontrer la conformité du jouet, </w:t>
      </w:r>
      <w:bookmarkStart w:id="3" w:name="OLE_LINK1"/>
      <w:bookmarkStart w:id="4" w:name="OLE_LINK2"/>
      <w:r w:rsidRPr="00F03572">
        <w:t>en anglais ou dans une des trois langues administratives désignées dans la loi du 24 février 1984</w:t>
      </w:r>
      <w:bookmarkEnd w:id="3"/>
      <w:bookmarkEnd w:id="4"/>
      <w:r w:rsidRPr="00F03572">
        <w:t>. Ils coopèrent, à la demande de l’Institut, à toute mesure adoptée en vue d'éliminer les risques présentés par des jouets qu'ils ont mis sur le marché.</w:t>
      </w:r>
    </w:p>
    <w:p w:rsidR="00BB166C" w:rsidRPr="000C342D" w:rsidRDefault="00BB166C" w:rsidP="000E01B8">
      <w:pPr>
        <w:spacing w:before="0" w:line="240" w:lineRule="auto"/>
        <w:rPr>
          <w:b/>
        </w:rPr>
      </w:pPr>
      <w:r w:rsidRPr="000C342D">
        <w:rPr>
          <w:b/>
        </w:rPr>
        <w:t xml:space="preserve">Art. 7. - </w:t>
      </w:r>
      <w:r w:rsidRPr="000C342D">
        <w:rPr>
          <w:b/>
          <w:i/>
        </w:rPr>
        <w:t>Obligations des distributeurs</w:t>
      </w:r>
    </w:p>
    <w:p w:rsidR="00BB166C" w:rsidRPr="000C342D" w:rsidRDefault="00BB166C" w:rsidP="000E01B8">
      <w:pPr>
        <w:pStyle w:val="ManualNumPar1"/>
        <w:spacing w:before="0" w:line="240" w:lineRule="auto"/>
        <w:jc w:val="both"/>
      </w:pPr>
      <w:r w:rsidRPr="000C342D">
        <w:t>(1)</w:t>
      </w:r>
      <w:r w:rsidRPr="000C342D">
        <w:tab/>
        <w:t>Lorsqu'ils mettent un jouet à disposition sur le marché, les distributeurs agissent avec la diligence requise en ce qui concerne les exigences applicables.</w:t>
      </w:r>
    </w:p>
    <w:p w:rsidR="00BB166C" w:rsidRPr="00540DBC" w:rsidRDefault="00BB166C" w:rsidP="000E01B8">
      <w:pPr>
        <w:pStyle w:val="ManualNumPar1"/>
        <w:spacing w:before="0" w:line="240" w:lineRule="auto"/>
        <w:jc w:val="both"/>
      </w:pPr>
      <w:r>
        <w:t>(2)</w:t>
      </w:r>
      <w:r>
        <w:tab/>
      </w:r>
      <w:r w:rsidRPr="000C342D">
        <w:t xml:space="preserve">Avant de mettre un jouet à disposition sur le marché, les distributeurs vérifient qu'il porte le marquage ou les marquages de conformité requis, qu'il est accompagné des documents </w:t>
      </w:r>
      <w:r w:rsidRPr="000440A9">
        <w:t xml:space="preserve">requis et d'instructions et d'informations de sécurité dans au moins </w:t>
      </w:r>
      <w:r>
        <w:t>une d</w:t>
      </w:r>
      <w:r w:rsidRPr="000440A9">
        <w:t>es trois langues administratives désignées dans la loi du 24 février 1984, et que le fabricant et l'importateur ont respecté les exigences visées respectivement à l'article 4, paragraphes 5 et 6, et à</w:t>
      </w:r>
      <w:r w:rsidRPr="00540DBC">
        <w:t xml:space="preserve"> l'article 6, paragraphe 3.</w:t>
      </w:r>
    </w:p>
    <w:p w:rsidR="00BB166C" w:rsidRPr="000C342D" w:rsidRDefault="00BB166C" w:rsidP="000E01B8">
      <w:pPr>
        <w:pStyle w:val="Text1"/>
        <w:spacing w:before="0" w:line="240" w:lineRule="auto"/>
        <w:jc w:val="both"/>
      </w:pPr>
      <w:bookmarkStart w:id="5" w:name="DQCErrorScope1E52A31063304867B44740DBA13"/>
      <w:r w:rsidRPr="000C342D">
        <w:t xml:space="preserve">Lorsqu'un distributeur considère, ou a des raisons de croire, qu'un jouet n'est pas conforme </w:t>
      </w:r>
      <w:r w:rsidRPr="00540DBC">
        <w:t>aux exigences essentielles de sécurité visées à l'article 10 et à l'annexe II, il ne met le jouet</w:t>
      </w:r>
      <w:r w:rsidRPr="000C342D">
        <w:t xml:space="preserve"> à disposition sur le marché qu'après qu'il a été mis en conformité avec ces exigences. En outre, si le produit présente un risque, le distributeur en informe le fabricant ou</w:t>
      </w:r>
      <w:r>
        <w:t xml:space="preserve"> l'importateur ainsi que l’Institut</w:t>
      </w:r>
      <w:r w:rsidRPr="000C342D">
        <w:t>.</w:t>
      </w:r>
      <w:bookmarkEnd w:id="5"/>
    </w:p>
    <w:p w:rsidR="00BB166C" w:rsidRPr="00540DBC" w:rsidRDefault="00BB166C" w:rsidP="000E01B8">
      <w:pPr>
        <w:pStyle w:val="ManualNumPar1"/>
        <w:spacing w:before="0" w:line="240" w:lineRule="auto"/>
        <w:jc w:val="both"/>
      </w:pPr>
      <w:r w:rsidRPr="000C342D">
        <w:t>(3)</w:t>
      </w:r>
      <w:r w:rsidRPr="000C342D">
        <w:tab/>
        <w:t xml:space="preserve">Tant qu'un jouet est sous leur responsabilité, les distributeurs s'assurent que les conditions de stockage ou de transport ne compromettent pas sa conformité aux exigences visées à </w:t>
      </w:r>
      <w:r w:rsidRPr="00540DBC">
        <w:t>l'article 10 et à l'annexe II.</w:t>
      </w:r>
    </w:p>
    <w:p w:rsidR="00BB166C" w:rsidRPr="000C342D" w:rsidRDefault="00BB166C" w:rsidP="000E01B8">
      <w:pPr>
        <w:pStyle w:val="ManualNumPar1"/>
        <w:spacing w:before="0" w:line="240" w:lineRule="auto"/>
        <w:jc w:val="both"/>
      </w:pPr>
      <w:r w:rsidRPr="000C342D">
        <w:t>(4)</w:t>
      </w:r>
      <w:r w:rsidRPr="000C342D">
        <w:tab/>
        <w:t xml:space="preserve">Les distributeurs qui considèrent, ou ont des raisons de croire, qu'un jouet qu'ils ont mis à disposition sur le marché n'est pas conforme à la législation communautaire d'harmonisation applicable, veillent à ce que les mesures correctives nécessaires pour le mettre en conformité, le retirer ou le rappeler, si nécessaire, soient prises. En outre, si le jouet présente un risque, les distributeurs en informent immédiatement </w:t>
      </w:r>
      <w:r>
        <w:t xml:space="preserve">l’Institut et </w:t>
      </w:r>
      <w:r w:rsidRPr="000C342D">
        <w:t xml:space="preserve">les </w:t>
      </w:r>
      <w:r>
        <w:t xml:space="preserve">autres </w:t>
      </w:r>
      <w:r w:rsidRPr="000C342D">
        <w:t>autorités nationales compétentes des États membres dans lesquels ils ont mis le jouet à disposition, en fournissant des précisions, notamment, sur la non-conformité et sur toute mesure corrective adoptée.</w:t>
      </w:r>
    </w:p>
    <w:p w:rsidR="00BB166C" w:rsidRPr="003719E9" w:rsidRDefault="00BB166C" w:rsidP="000E01B8">
      <w:pPr>
        <w:pStyle w:val="ManualNumPar1"/>
        <w:spacing w:before="0" w:after="240" w:line="240" w:lineRule="auto"/>
        <w:ind w:left="851" w:hanging="851"/>
        <w:jc w:val="both"/>
      </w:pPr>
      <w:r w:rsidRPr="003719E9">
        <w:t>(5)</w:t>
      </w:r>
      <w:r w:rsidRPr="003719E9">
        <w:tab/>
        <w:t>À la demande motivée de l’Institut, les distributeurs lui communiquent toutes les informations et tous les documents nécessaires pour démontrer la conformité du jouet, en anglais ou dans une des trois langues administratives désignées dans la loi du 24 février 1984. Ils coopèrent, à la demande de l’Institut, à toute mesure adoptée en vue d'éliminer les risques présentés par des jouets qu'ils ont mis sur le marché.</w:t>
      </w:r>
    </w:p>
    <w:p w:rsidR="00BB166C" w:rsidRPr="000C342D" w:rsidRDefault="00BB166C" w:rsidP="000E01B8">
      <w:pPr>
        <w:spacing w:before="0" w:line="240" w:lineRule="auto"/>
        <w:rPr>
          <w:b/>
        </w:rPr>
      </w:pPr>
      <w:r w:rsidRPr="000C342D">
        <w:rPr>
          <w:b/>
        </w:rPr>
        <w:t xml:space="preserve">Art. 8. - </w:t>
      </w:r>
      <w:r w:rsidRPr="000C342D">
        <w:rPr>
          <w:b/>
          <w:i/>
        </w:rPr>
        <w:t>Cas dans lesquels les obligations des fabricants s'appliquent aux importateurs et aux distributeurs</w:t>
      </w:r>
    </w:p>
    <w:p w:rsidR="00BB166C" w:rsidRPr="000C342D" w:rsidRDefault="00BB166C" w:rsidP="000E01B8">
      <w:pPr>
        <w:spacing w:before="0" w:after="240" w:line="240" w:lineRule="auto"/>
        <w:jc w:val="both"/>
        <w:rPr>
          <w:lang w:eastAsia="zh-CN"/>
        </w:rPr>
      </w:pPr>
      <w:r w:rsidRPr="000C342D">
        <w:t>Un importateur ou un distributeur est considéré comme un fabricant aux fins de la présente loi et il est soumis aux obligations incombant au fabricant en vertu de l'article 4, lorsqu'il met un jouet sur le marché sous son propre nom ou sa propre marque, ou modifie un jouet déjà mis sur le marché de telle sorte que sa conformité avec les exigences applicables risque d'en être affectée.</w:t>
      </w:r>
    </w:p>
    <w:p w:rsidR="00BB166C" w:rsidRPr="000C342D" w:rsidRDefault="00BB166C" w:rsidP="000E01B8">
      <w:pPr>
        <w:spacing w:before="0" w:line="240" w:lineRule="auto"/>
        <w:rPr>
          <w:b/>
        </w:rPr>
      </w:pPr>
      <w:r w:rsidRPr="000C342D">
        <w:rPr>
          <w:b/>
        </w:rPr>
        <w:t xml:space="preserve">Art. 9. - </w:t>
      </w:r>
      <w:r w:rsidRPr="000C342D">
        <w:rPr>
          <w:b/>
          <w:i/>
        </w:rPr>
        <w:t>Identification des opérateurs économiques</w:t>
      </w:r>
    </w:p>
    <w:p w:rsidR="00BB166C" w:rsidRPr="000C342D" w:rsidRDefault="00BB166C" w:rsidP="000E01B8">
      <w:pPr>
        <w:spacing w:before="0" w:line="240" w:lineRule="auto"/>
        <w:jc w:val="both"/>
      </w:pPr>
      <w:bookmarkStart w:id="6" w:name="DQCErrorScope8C3B0668D2024244A1957C217B6"/>
      <w:r w:rsidRPr="000C342D">
        <w:t xml:space="preserve">Sur demande, les opérateurs économiques </w:t>
      </w:r>
      <w:bookmarkEnd w:id="6"/>
      <w:r w:rsidRPr="000C342D">
        <w:t>identifient à l'intention de l’Institut :</w:t>
      </w:r>
    </w:p>
    <w:p w:rsidR="00BB166C" w:rsidRPr="000C342D" w:rsidRDefault="00BB166C" w:rsidP="000E01B8">
      <w:pPr>
        <w:pStyle w:val="Point1"/>
        <w:spacing w:before="0" w:line="240" w:lineRule="auto"/>
        <w:jc w:val="both"/>
      </w:pPr>
      <w:r w:rsidRPr="000C342D">
        <w:t>a)</w:t>
      </w:r>
      <w:r w:rsidRPr="000C342D">
        <w:tab/>
        <w:t>tout opérateur économique qui leur a fourni un jouet ;</w:t>
      </w:r>
    </w:p>
    <w:p w:rsidR="00BB166C" w:rsidRPr="000C342D" w:rsidRDefault="00BB166C" w:rsidP="000E01B8">
      <w:pPr>
        <w:pStyle w:val="Point1"/>
        <w:spacing w:before="0" w:line="240" w:lineRule="auto"/>
        <w:jc w:val="both"/>
      </w:pPr>
      <w:r w:rsidRPr="000C342D">
        <w:t>b)</w:t>
      </w:r>
      <w:r w:rsidRPr="000C342D">
        <w:tab/>
        <w:t>tout opérateur économique auquel ils ont fourni un jouet.</w:t>
      </w:r>
    </w:p>
    <w:p w:rsidR="00BB166C" w:rsidRPr="000C342D" w:rsidRDefault="00BB166C" w:rsidP="000E01B8">
      <w:pPr>
        <w:spacing w:before="0" w:after="360" w:line="240" w:lineRule="auto"/>
        <w:jc w:val="both"/>
        <w:rPr>
          <w:lang w:eastAsia="zh-CN"/>
        </w:rPr>
      </w:pPr>
      <w:r w:rsidRPr="000C342D">
        <w:rPr>
          <w:lang w:eastAsia="zh-CN"/>
        </w:rPr>
        <w:t xml:space="preserve">Les opérateurs économiques doivent être en mesure de fournir les informations visées au premier alinéa pendant une </w:t>
      </w:r>
      <w:r w:rsidRPr="000C342D">
        <w:t>durée</w:t>
      </w:r>
      <w:r w:rsidRPr="000C342D">
        <w:rPr>
          <w:lang w:eastAsia="zh-CN"/>
        </w:rPr>
        <w:t xml:space="preserve"> de dix ans à partir de la date de mise sur le marché du jouet, dans le cas du fabricant, et pendant une durée de dix ans à partir de la date où le jouet leur a été fourni, dans le cas des autres opérateurs économiques.</w:t>
      </w:r>
    </w:p>
    <w:p w:rsidR="00BB166C" w:rsidRPr="000C342D" w:rsidRDefault="00BB166C" w:rsidP="000E01B8">
      <w:pPr>
        <w:pStyle w:val="ChapterTitle"/>
        <w:spacing w:before="0" w:after="240" w:line="240" w:lineRule="auto"/>
        <w:rPr>
          <w:sz w:val="24"/>
        </w:rPr>
      </w:pPr>
      <w:r>
        <w:rPr>
          <w:sz w:val="24"/>
        </w:rPr>
        <w:br w:type="page"/>
      </w:r>
      <w:r w:rsidRPr="000C342D">
        <w:rPr>
          <w:sz w:val="24"/>
        </w:rPr>
        <w:t>Chapitre 3. - Conformité des jouets</w:t>
      </w:r>
    </w:p>
    <w:p w:rsidR="00BB166C" w:rsidRPr="000C342D" w:rsidRDefault="00BB166C" w:rsidP="000E01B8">
      <w:pPr>
        <w:spacing w:before="0" w:line="240" w:lineRule="auto"/>
        <w:rPr>
          <w:b/>
        </w:rPr>
      </w:pPr>
      <w:r w:rsidRPr="000C342D">
        <w:rPr>
          <w:b/>
        </w:rPr>
        <w:t xml:space="preserve">Art. 10. - </w:t>
      </w:r>
      <w:r w:rsidRPr="000C342D">
        <w:rPr>
          <w:b/>
          <w:i/>
        </w:rPr>
        <w:t>Exigences essentielles de sécurité</w:t>
      </w:r>
    </w:p>
    <w:p w:rsidR="00BB166C" w:rsidRPr="000C342D" w:rsidRDefault="00BB166C" w:rsidP="000E01B8">
      <w:pPr>
        <w:pStyle w:val="ManualNumPar1"/>
        <w:spacing w:before="0" w:line="240" w:lineRule="auto"/>
        <w:jc w:val="both"/>
      </w:pPr>
      <w:r w:rsidRPr="000C342D">
        <w:t>(1)</w:t>
      </w:r>
      <w:r w:rsidRPr="000C342D">
        <w:tab/>
        <w:t xml:space="preserve">Les </w:t>
      </w:r>
      <w:r>
        <w:t xml:space="preserve">jouets </w:t>
      </w:r>
      <w:r w:rsidRPr="000C342D">
        <w:t xml:space="preserve">mis sur le marché </w:t>
      </w:r>
      <w:r>
        <w:t>doivent répondre</w:t>
      </w:r>
      <w:r w:rsidRPr="000C342D">
        <w:t xml:space="preserve"> aux exigences essentielles de sécurité visées </w:t>
      </w:r>
      <w:r w:rsidRPr="00540DBC">
        <w:t>au paragraphe 2, en ce qui concerne l'obligation générale de sécurité, et à l'annexe II, en ce</w:t>
      </w:r>
      <w:r w:rsidRPr="000C342D">
        <w:t xml:space="preserve"> qui concerne les exigences particulières de sécurité.</w:t>
      </w:r>
    </w:p>
    <w:p w:rsidR="00BB166C" w:rsidRPr="000C342D" w:rsidRDefault="00BB166C" w:rsidP="000E01B8">
      <w:pPr>
        <w:pStyle w:val="ManualNumPar1"/>
        <w:spacing w:before="0" w:line="240" w:lineRule="auto"/>
        <w:jc w:val="both"/>
      </w:pPr>
      <w:r w:rsidRPr="000C342D">
        <w:t>(2)</w:t>
      </w:r>
      <w:r w:rsidRPr="000C342D">
        <w:tab/>
        <w:t>Les jouets, y compris les produits chimiques qu'ils contiennent, ne doivent pas mettre en danger la sécurité ou la santé des utilisateurs ou celles de tiers lorsqu'ils sont utilisés conformément à la destination du jouet ou à l'usage prévisible, en tenant compte du comportement des enfants.</w:t>
      </w:r>
    </w:p>
    <w:p w:rsidR="00BB166C" w:rsidRPr="000C342D" w:rsidRDefault="00BB166C" w:rsidP="000E01B8">
      <w:pPr>
        <w:pStyle w:val="Text1"/>
        <w:spacing w:before="0" w:line="240" w:lineRule="auto"/>
        <w:jc w:val="both"/>
      </w:pPr>
      <w:r w:rsidRPr="000C342D">
        <w:t>La capacité des utilisateurs et, le cas échéant, de leurs surveillants est prise en compte, notamment dans le cas de jouets qui sont destinés à des enfants de moins de trente-six mois ou à d'autres tranches d'âge déterminées.</w:t>
      </w:r>
    </w:p>
    <w:p w:rsidR="00BB166C" w:rsidRPr="000C342D" w:rsidRDefault="00BB166C" w:rsidP="000E01B8">
      <w:pPr>
        <w:pStyle w:val="Text1"/>
        <w:spacing w:before="0" w:line="240" w:lineRule="auto"/>
        <w:jc w:val="both"/>
      </w:pPr>
      <w:r w:rsidRPr="000C342D">
        <w:t xml:space="preserve">Les étiquettes apposées conformément à l'article 11, paragraphe </w:t>
      </w:r>
      <w:r>
        <w:t>2</w:t>
      </w:r>
      <w:r w:rsidRPr="000C342D">
        <w:t>, ainsi que le mode d'emploi qui accompagne les jouets attirent l'attention des utilisateurs ou de leurs surveillants sur les dangers et les risques d'effets dommageables inhérents à l'utilisation des jouets, et sur la manière de les éviter.</w:t>
      </w:r>
    </w:p>
    <w:p w:rsidR="00BB166C" w:rsidRPr="000C342D" w:rsidRDefault="00BB166C" w:rsidP="000E01B8">
      <w:pPr>
        <w:pStyle w:val="ManualNumPar1"/>
        <w:spacing w:before="0" w:after="240" w:line="240" w:lineRule="auto"/>
        <w:ind w:left="851" w:hanging="851"/>
        <w:jc w:val="both"/>
      </w:pPr>
      <w:r w:rsidRPr="000C342D">
        <w:t>(3)</w:t>
      </w:r>
      <w:r w:rsidRPr="000C342D">
        <w:tab/>
        <w:t>Les jouets placés sur le marché sont conformes aux exigences essentielles de sécurité durant leur durée d'utilisation prévisible et normale.</w:t>
      </w:r>
    </w:p>
    <w:p w:rsidR="00BB166C" w:rsidRPr="00C14EE8" w:rsidRDefault="00BB166C" w:rsidP="000E01B8">
      <w:pPr>
        <w:spacing w:before="0" w:line="240" w:lineRule="auto"/>
        <w:rPr>
          <w:b/>
        </w:rPr>
      </w:pPr>
      <w:r w:rsidRPr="00C14EE8">
        <w:rPr>
          <w:b/>
        </w:rPr>
        <w:t xml:space="preserve">Art. 11. - </w:t>
      </w:r>
      <w:r w:rsidRPr="00C14EE8">
        <w:rPr>
          <w:b/>
          <w:i/>
        </w:rPr>
        <w:t>Avertissements</w:t>
      </w:r>
    </w:p>
    <w:p w:rsidR="00BB166C" w:rsidRPr="00C14EE8" w:rsidRDefault="00BB166C" w:rsidP="000E01B8">
      <w:pPr>
        <w:pStyle w:val="ManualNumPar1"/>
        <w:spacing w:before="0" w:line="240" w:lineRule="auto"/>
        <w:jc w:val="both"/>
      </w:pPr>
      <w:r w:rsidRPr="00C14EE8">
        <w:t>(1)</w:t>
      </w:r>
      <w:r w:rsidRPr="00C14EE8">
        <w:tab/>
        <w:t>Pour assurer une utilisation en toute sécurité, les avertissements donnés aux fins de l'article 10, paragraphe 2, spécifient les limites d'utilisation appropriées, conformément à la partie A de l'annexe V.</w:t>
      </w:r>
    </w:p>
    <w:p w:rsidR="00BB166C" w:rsidRPr="00C14EE8" w:rsidRDefault="00BB166C" w:rsidP="000E01B8">
      <w:pPr>
        <w:pStyle w:val="Text1"/>
        <w:spacing w:before="0" w:line="240" w:lineRule="auto"/>
        <w:jc w:val="both"/>
      </w:pPr>
      <w:r w:rsidRPr="00C14EE8">
        <w:t>En ce qui concerne les catégories de jouets énumérées dans la partie B de l'annexe V, les avertissements qui y figurent sont pris en compte. Les avertissements visés aux points 2 à 10 de la partie B de l'annexe V sont utilisés tels quels.</w:t>
      </w:r>
    </w:p>
    <w:p w:rsidR="00BB166C" w:rsidRPr="00C14EE8" w:rsidRDefault="00BB166C" w:rsidP="000E01B8">
      <w:pPr>
        <w:pStyle w:val="Text1"/>
        <w:spacing w:before="0" w:line="240" w:lineRule="auto"/>
        <w:jc w:val="both"/>
      </w:pPr>
      <w:r w:rsidRPr="00C14EE8">
        <w:t>Aucun des avertissements spécifiques établis dans la partie B de l’annexe V ne peut être apposé, si ces avertissements sont en contradiction avec l’utilisation à laquelle le jouet est destiné de par ses fonctions, ses dimensions ou ses caractéristiques.</w:t>
      </w:r>
    </w:p>
    <w:p w:rsidR="00BB166C" w:rsidRPr="00C14EE8" w:rsidRDefault="00BB166C" w:rsidP="000E01B8">
      <w:pPr>
        <w:pStyle w:val="ManualNumPar1"/>
        <w:spacing w:before="0" w:line="240" w:lineRule="auto"/>
        <w:jc w:val="both"/>
      </w:pPr>
      <w:r w:rsidRPr="00C14EE8" w:rsidDel="00951FBF">
        <w:t xml:space="preserve"> </w:t>
      </w:r>
      <w:r w:rsidRPr="00C14EE8">
        <w:t>(2)</w:t>
      </w:r>
      <w:r w:rsidRPr="00C14EE8">
        <w:tab/>
        <w:t>Le fabricant indique les avertissements de manière clairement visible et facilement lisible, aisément compréhensible et précise sur le jouet, sur une étiquette apposée ou sur l'emballage et, le cas échéant, dans les instructions d'utilisation qui accompagnent le jouet. Les petits jouets vendus sans emballage portent directement le marquage des avertissements appropriés.</w:t>
      </w:r>
    </w:p>
    <w:p w:rsidR="00BB166C" w:rsidRPr="00771A6A" w:rsidRDefault="00BB166C" w:rsidP="000E01B8">
      <w:pPr>
        <w:pStyle w:val="Text1"/>
        <w:spacing w:before="0" w:line="240" w:lineRule="auto"/>
        <w:jc w:val="both"/>
      </w:pPr>
      <w:r w:rsidRPr="00771A6A">
        <w:t>Les avertissements sont précédés du mot «attention».</w:t>
      </w:r>
    </w:p>
    <w:p w:rsidR="00BB166C" w:rsidRPr="00C14EE8" w:rsidRDefault="00BB166C" w:rsidP="000E01B8">
      <w:pPr>
        <w:pStyle w:val="Text1"/>
        <w:spacing w:before="0" w:line="240" w:lineRule="auto"/>
        <w:jc w:val="both"/>
      </w:pPr>
      <w:r w:rsidRPr="00C14EE8">
        <w:t>Les avertissements qui déterminent la décision d'achat du jouet, par exemple ceux spécifiant l'âge minimum et l'âge maximum des utilisateurs, et les autres avertissements applicables visés à l'annexe V figurent sur l'emballage de vente ou figurent de manière clairement visible pour le consommateur avant l'achat, y compris lorsque l'achat est effectué en ligne.</w:t>
      </w:r>
    </w:p>
    <w:p w:rsidR="00BB166C" w:rsidRPr="00771A6A" w:rsidRDefault="00BB166C" w:rsidP="000E01B8">
      <w:pPr>
        <w:pStyle w:val="ManualNumPar1"/>
        <w:spacing w:before="0" w:after="240" w:line="240" w:lineRule="auto"/>
        <w:ind w:left="851" w:hanging="851"/>
        <w:jc w:val="both"/>
      </w:pPr>
      <w:r w:rsidRPr="00771A6A">
        <w:t>(3)</w:t>
      </w:r>
      <w:r w:rsidRPr="00771A6A">
        <w:tab/>
        <w:t>Conformément à l’article 4, paragraphe 7 les avertissements et consignes de sécurité sont libellés dans aux moins une des trois langues administratives désignées dans la loi du 24 février 1984.</w:t>
      </w:r>
    </w:p>
    <w:p w:rsidR="00BB166C" w:rsidRPr="000C342D" w:rsidRDefault="00BB166C" w:rsidP="000E01B8">
      <w:pPr>
        <w:spacing w:before="0" w:line="240" w:lineRule="auto"/>
        <w:rPr>
          <w:b/>
        </w:rPr>
      </w:pPr>
      <w:r>
        <w:rPr>
          <w:b/>
        </w:rPr>
        <w:br w:type="page"/>
      </w:r>
      <w:r w:rsidRPr="000C342D">
        <w:rPr>
          <w:b/>
        </w:rPr>
        <w:t xml:space="preserve">Art. 12. - </w:t>
      </w:r>
      <w:r w:rsidRPr="000C342D">
        <w:rPr>
          <w:b/>
          <w:i/>
        </w:rPr>
        <w:t>Libre circulation</w:t>
      </w:r>
    </w:p>
    <w:p w:rsidR="00BB166C" w:rsidRPr="000C342D" w:rsidRDefault="00BB166C" w:rsidP="000E01B8">
      <w:pPr>
        <w:pStyle w:val="Text1"/>
        <w:spacing w:before="0" w:after="240" w:line="240" w:lineRule="auto"/>
        <w:ind w:left="0"/>
        <w:jc w:val="both"/>
      </w:pPr>
      <w:r w:rsidRPr="000C342D">
        <w:t xml:space="preserve">L’Etat luxembourgeois ne </w:t>
      </w:r>
      <w:r>
        <w:t>fait pas</w:t>
      </w:r>
      <w:r w:rsidRPr="000C342D">
        <w:t xml:space="preserve"> obstacle à la mise sur le marché</w:t>
      </w:r>
      <w:r>
        <w:t>,</w:t>
      </w:r>
      <w:r w:rsidRPr="000C342D">
        <w:t xml:space="preserve"> au </w:t>
      </w:r>
      <w:r>
        <w:t>Luxembourg,</w:t>
      </w:r>
      <w:r w:rsidRPr="000C342D">
        <w:t xml:space="preserve"> des jouets qui satisfont à la présente loi.</w:t>
      </w:r>
    </w:p>
    <w:p w:rsidR="00BB166C" w:rsidRPr="000C342D" w:rsidRDefault="00BB166C" w:rsidP="000E01B8">
      <w:pPr>
        <w:spacing w:before="0" w:line="240" w:lineRule="auto"/>
        <w:rPr>
          <w:b/>
        </w:rPr>
      </w:pPr>
      <w:r w:rsidRPr="000C342D">
        <w:rPr>
          <w:b/>
        </w:rPr>
        <w:t xml:space="preserve">Art. 13. - </w:t>
      </w:r>
      <w:r w:rsidRPr="000C342D">
        <w:rPr>
          <w:b/>
          <w:i/>
        </w:rPr>
        <w:t>Présomption de conformité</w:t>
      </w:r>
    </w:p>
    <w:p w:rsidR="00BB166C" w:rsidRDefault="00BB166C" w:rsidP="000E01B8">
      <w:pPr>
        <w:pStyle w:val="Text1"/>
        <w:spacing w:before="0" w:after="240" w:line="240" w:lineRule="auto"/>
        <w:ind w:left="0"/>
        <w:jc w:val="both"/>
      </w:pPr>
      <w:r w:rsidRPr="000C342D">
        <w:t xml:space="preserve">Les jouets conformes à des normes harmonisées ou à des parties de normes harmonisées, dont les références ont été publiées au </w:t>
      </w:r>
      <w:r w:rsidRPr="002D5E99">
        <w:rPr>
          <w:i/>
        </w:rPr>
        <w:t>Journal officiel de l'Union européenne</w:t>
      </w:r>
      <w:r w:rsidRPr="000C342D">
        <w:t>, sont présumé</w:t>
      </w:r>
      <w:r>
        <w:t>s</w:t>
      </w:r>
      <w:r w:rsidRPr="000C342D">
        <w:t xml:space="preserve"> conformes aux </w:t>
      </w:r>
      <w:r w:rsidRPr="00540DBC">
        <w:t>exigences couvertes par ces normes ou parties de normes, visées à l'article 10 et à l'annexe II.</w:t>
      </w:r>
    </w:p>
    <w:p w:rsidR="00BB166C" w:rsidRPr="00E117A7" w:rsidRDefault="00BB166C" w:rsidP="000E01B8">
      <w:pPr>
        <w:spacing w:before="0" w:line="240" w:lineRule="auto"/>
        <w:rPr>
          <w:b/>
        </w:rPr>
      </w:pPr>
      <w:r w:rsidRPr="00E117A7">
        <w:rPr>
          <w:b/>
        </w:rPr>
        <w:t xml:space="preserve">Art. 14. - </w:t>
      </w:r>
      <w:r w:rsidRPr="00E117A7">
        <w:rPr>
          <w:b/>
          <w:i/>
        </w:rPr>
        <w:t>Déclaration « CE » de conformité</w:t>
      </w:r>
    </w:p>
    <w:p w:rsidR="00BB166C" w:rsidRPr="000C342D" w:rsidRDefault="00BB166C" w:rsidP="000E01B8">
      <w:pPr>
        <w:pStyle w:val="ManualNumPar1"/>
        <w:spacing w:before="0" w:line="240" w:lineRule="auto"/>
        <w:jc w:val="both"/>
        <w:outlineLvl w:val="0"/>
      </w:pPr>
      <w:r w:rsidRPr="000C342D">
        <w:t>(1)</w:t>
      </w:r>
      <w:r w:rsidRPr="000C342D">
        <w:tab/>
        <w:t>La déclaration « CE » de conformité atteste que le respect des exigences visées à l'article 10 et à l'annexe II a été démontré.</w:t>
      </w:r>
    </w:p>
    <w:p w:rsidR="00BB166C" w:rsidRPr="0047180B" w:rsidRDefault="00BB166C" w:rsidP="000E01B8">
      <w:pPr>
        <w:pStyle w:val="ManualNumPar1"/>
        <w:spacing w:before="0" w:line="240" w:lineRule="auto"/>
        <w:ind w:left="851" w:hanging="851"/>
        <w:jc w:val="both"/>
      </w:pPr>
      <w:r w:rsidRPr="000C342D">
        <w:t>(2)</w:t>
      </w:r>
      <w:r w:rsidRPr="000C342D">
        <w:tab/>
        <w:t xml:space="preserve">La déclaration « CE » de conformité contient au minimum les éléments précisés à l'annexe III de la présente directive et dans les modules pertinents de l'annexe II de la décision </w:t>
      </w:r>
      <w:r w:rsidRPr="0047180B">
        <w:t>n°</w:t>
      </w:r>
      <w:r>
        <w:t xml:space="preserve"> </w:t>
      </w:r>
      <w:r w:rsidRPr="0047180B">
        <w:t>768/2008/CE et est mise à jour en permanence. Elle est établie selon le modèle figurant à l'annexe III de la présente loi. Elle est traduite en anglais o</w:t>
      </w:r>
      <w:r>
        <w:t xml:space="preserve">u dans </w:t>
      </w:r>
      <w:r w:rsidRPr="0047180B">
        <w:t>une des trois langues administratives désignées dans la loi du 24 février 1984.</w:t>
      </w:r>
    </w:p>
    <w:p w:rsidR="00BB166C" w:rsidRPr="000C342D" w:rsidRDefault="00BB166C" w:rsidP="000E01B8">
      <w:pPr>
        <w:pStyle w:val="ManualNumPar1"/>
        <w:spacing w:before="0" w:after="240" w:line="240" w:lineRule="auto"/>
        <w:ind w:left="851" w:hanging="851"/>
        <w:jc w:val="both"/>
        <w:outlineLvl w:val="0"/>
      </w:pPr>
      <w:r w:rsidRPr="000C342D">
        <w:t>(3)</w:t>
      </w:r>
      <w:r w:rsidRPr="000C342D">
        <w:tab/>
        <w:t>En établissant la déclaration « CE » de conformité, le fabricant assume la responsabilité de la conformité du jouet.</w:t>
      </w:r>
    </w:p>
    <w:p w:rsidR="00BB166C" w:rsidRPr="00954137" w:rsidRDefault="00BB166C" w:rsidP="000E01B8">
      <w:pPr>
        <w:spacing w:before="0" w:line="240" w:lineRule="auto"/>
        <w:rPr>
          <w:b/>
        </w:rPr>
      </w:pPr>
      <w:r>
        <w:rPr>
          <w:b/>
        </w:rPr>
        <w:t>Art. 15</w:t>
      </w:r>
      <w:r w:rsidRPr="00954137">
        <w:rPr>
          <w:b/>
        </w:rPr>
        <w:t xml:space="preserve">. - </w:t>
      </w:r>
      <w:r w:rsidRPr="00954137">
        <w:rPr>
          <w:b/>
          <w:i/>
        </w:rPr>
        <w:t>Principes généraux du marquage « CE »</w:t>
      </w:r>
    </w:p>
    <w:p w:rsidR="00BB166C" w:rsidRPr="000C342D" w:rsidRDefault="00BB166C" w:rsidP="000E01B8">
      <w:pPr>
        <w:pStyle w:val="ManualNumPar1"/>
        <w:spacing w:before="0" w:line="240" w:lineRule="auto"/>
        <w:jc w:val="both"/>
      </w:pPr>
      <w:r w:rsidRPr="000C342D">
        <w:t>(1)</w:t>
      </w:r>
      <w:r w:rsidRPr="000C342D">
        <w:tab/>
        <w:t>Les jouets mis à disposition sur le marché portent le marquage « CE ».</w:t>
      </w:r>
    </w:p>
    <w:p w:rsidR="00BB166C" w:rsidRPr="00141894" w:rsidRDefault="00BB166C" w:rsidP="000E01B8">
      <w:pPr>
        <w:pStyle w:val="ManualNumPar1"/>
        <w:spacing w:before="0" w:line="240" w:lineRule="auto"/>
        <w:jc w:val="both"/>
        <w:rPr>
          <w:color w:val="000000"/>
        </w:rPr>
      </w:pPr>
      <w:r w:rsidRPr="000C342D">
        <w:t>(2)</w:t>
      </w:r>
      <w:r w:rsidRPr="000C342D">
        <w:tab/>
        <w:t xml:space="preserve">Le marquage « CE » obéit aux principes généraux </w:t>
      </w:r>
      <w:r w:rsidRPr="00141894">
        <w:rPr>
          <w:color w:val="000000"/>
        </w:rPr>
        <w:t>énoncés à l'article 30 du règlement (CE) n</w:t>
      </w:r>
      <w:r w:rsidRPr="00141894">
        <w:rPr>
          <w:color w:val="000000"/>
          <w:vertAlign w:val="superscript"/>
        </w:rPr>
        <w:t>o</w:t>
      </w:r>
      <w:r w:rsidRPr="00141894">
        <w:rPr>
          <w:color w:val="000000"/>
        </w:rPr>
        <w:t xml:space="preserve"> 765/2008.</w:t>
      </w:r>
    </w:p>
    <w:p w:rsidR="00BB166C" w:rsidRPr="000C342D" w:rsidRDefault="00BB166C" w:rsidP="000E01B8">
      <w:pPr>
        <w:pStyle w:val="ManualNumPar1"/>
        <w:spacing w:before="0" w:line="240" w:lineRule="auto"/>
        <w:jc w:val="both"/>
      </w:pPr>
      <w:r w:rsidRPr="000C342D">
        <w:t>(3)</w:t>
      </w:r>
      <w:r w:rsidRPr="000C342D">
        <w:tab/>
        <w:t>Les jouets portant le marquage « CE » sont présumés conformes à la présente loi.</w:t>
      </w:r>
    </w:p>
    <w:p w:rsidR="00BB166C" w:rsidRPr="000C342D" w:rsidRDefault="00BB166C" w:rsidP="000E01B8">
      <w:pPr>
        <w:pStyle w:val="ManualNumPar1"/>
        <w:spacing w:before="0" w:after="240" w:line="240" w:lineRule="auto"/>
        <w:ind w:left="851" w:hanging="851"/>
        <w:jc w:val="both"/>
      </w:pPr>
      <w:r w:rsidRPr="000C342D">
        <w:t>(4)</w:t>
      </w:r>
      <w:r w:rsidRPr="000C342D">
        <w:tab/>
        <w:t xml:space="preserve">Les jouets non munis d'un marquage « CE » ou qui, d'une autre manière, ne satisfont pas à la présente directive peuvent </w:t>
      </w:r>
      <w:r w:rsidRPr="009F36EF">
        <w:t>être exposés et utilisés</w:t>
      </w:r>
      <w:r w:rsidRPr="000C342D">
        <w:t xml:space="preserve"> dans des salons professionnels et des expositions à condition qu'ils soient accompagnés d'un</w:t>
      </w:r>
      <w:r>
        <w:t xml:space="preserve">e </w:t>
      </w:r>
      <w:r w:rsidRPr="009F36EF">
        <w:t>indication</w:t>
      </w:r>
      <w:r w:rsidRPr="000C342D">
        <w:t xml:space="preserve"> indiquant clairement que les jouets ne satisfont pas à la présente loi et qu'ils ne seront pas mis à disposition dans la Communauté avant d'avoir été mis en conformité.</w:t>
      </w:r>
    </w:p>
    <w:p w:rsidR="00BB166C" w:rsidRPr="00B00E26" w:rsidRDefault="00BB166C" w:rsidP="000E01B8">
      <w:pPr>
        <w:spacing w:before="0" w:line="240" w:lineRule="auto"/>
        <w:rPr>
          <w:b/>
        </w:rPr>
      </w:pPr>
      <w:r>
        <w:rPr>
          <w:b/>
        </w:rPr>
        <w:t>Art. 16</w:t>
      </w:r>
      <w:r w:rsidRPr="00B00E26">
        <w:rPr>
          <w:b/>
        </w:rPr>
        <w:t xml:space="preserve">. - </w:t>
      </w:r>
      <w:r w:rsidRPr="00B00E26">
        <w:rPr>
          <w:b/>
          <w:i/>
        </w:rPr>
        <w:t>Règles et conditions d'apposition du marquage « CE »</w:t>
      </w:r>
    </w:p>
    <w:p w:rsidR="00BB166C" w:rsidRPr="000C342D" w:rsidRDefault="00BB166C" w:rsidP="000E01B8">
      <w:pPr>
        <w:pStyle w:val="ManualNumPar1"/>
        <w:spacing w:before="0" w:line="240" w:lineRule="auto"/>
        <w:jc w:val="both"/>
      </w:pPr>
      <w:r w:rsidRPr="000C342D">
        <w:t>1.</w:t>
      </w:r>
      <w:r w:rsidRPr="000C342D">
        <w:tab/>
        <w:t>Le marquage « CE » est apposé de manière visible, lisible et indélébile sur le jouet</w:t>
      </w:r>
      <w:r>
        <w:t>,</w:t>
      </w:r>
      <w:r w:rsidRPr="000C342D">
        <w:t xml:space="preserve"> sur une étiquette attachée à celui-ci ou sur son emballage. Dans le cas de jouets de petites dimensions et de jouets composés de petites pièces, le marquage « CE » peut être apposé sur une étiquette ou sur un feuillet accompagnant le jouet. Si cela n'est pas techniquement possible dans le cas de jouets vendus en présentoirs de comptoir, et à condition que le présentoir ait été utilisé comme emballage du jouet, le marquage « CE » est apposé sur le présentoir de comptoir.</w:t>
      </w:r>
    </w:p>
    <w:p w:rsidR="00BB166C" w:rsidRPr="000C342D" w:rsidRDefault="00BB166C" w:rsidP="000E01B8">
      <w:pPr>
        <w:pStyle w:val="Text1"/>
        <w:spacing w:before="0" w:line="240" w:lineRule="auto"/>
        <w:jc w:val="both"/>
      </w:pPr>
      <w:r w:rsidRPr="000C342D">
        <w:t>Si le marquage « CE » n'est pas visible de l'extérieur de l'emballage, il est au moins apposé sur l'emballage.</w:t>
      </w:r>
    </w:p>
    <w:p w:rsidR="00BB166C" w:rsidRPr="000C342D" w:rsidRDefault="00BB166C" w:rsidP="000E01B8">
      <w:pPr>
        <w:pStyle w:val="ManualNumPar1"/>
        <w:spacing w:before="0" w:after="240" w:line="240" w:lineRule="auto"/>
        <w:ind w:left="851" w:hanging="851"/>
        <w:jc w:val="both"/>
      </w:pPr>
      <w:r w:rsidRPr="000C342D">
        <w:t>2.</w:t>
      </w:r>
      <w:r w:rsidRPr="000C342D">
        <w:tab/>
        <w:t>Le marquage « CE » est apposé avant que le produit ne soit mis sur le marché. Il peut être suivi d'un pictogramme ou de toute autre marque indiquant un risque ou un usage particulier.</w:t>
      </w:r>
    </w:p>
    <w:p w:rsidR="00BB166C" w:rsidRPr="000C342D" w:rsidRDefault="00BB166C" w:rsidP="000E01B8">
      <w:pPr>
        <w:pStyle w:val="ManualNumPar1"/>
        <w:spacing w:before="0" w:after="240" w:line="240" w:lineRule="auto"/>
        <w:ind w:left="851" w:hanging="851"/>
        <w:jc w:val="center"/>
        <w:rPr>
          <w:b/>
        </w:rPr>
      </w:pPr>
      <w:r>
        <w:rPr>
          <w:b/>
        </w:rPr>
        <w:br w:type="page"/>
      </w:r>
      <w:r w:rsidRPr="000C342D">
        <w:rPr>
          <w:b/>
        </w:rPr>
        <w:t>Chapitre 4. – Evaluation de la conformité</w:t>
      </w:r>
    </w:p>
    <w:p w:rsidR="00BB166C" w:rsidRPr="00B01713" w:rsidRDefault="00BB166C" w:rsidP="000E01B8">
      <w:pPr>
        <w:spacing w:before="0" w:line="240" w:lineRule="auto"/>
        <w:rPr>
          <w:b/>
        </w:rPr>
      </w:pPr>
      <w:r>
        <w:rPr>
          <w:b/>
        </w:rPr>
        <w:t>Art. 17</w:t>
      </w:r>
      <w:r w:rsidRPr="00B01713">
        <w:rPr>
          <w:b/>
        </w:rPr>
        <w:t xml:space="preserve">. - </w:t>
      </w:r>
      <w:r w:rsidRPr="00B01713">
        <w:rPr>
          <w:b/>
          <w:i/>
        </w:rPr>
        <w:t xml:space="preserve">Evaluations de la sécurité </w:t>
      </w:r>
    </w:p>
    <w:p w:rsidR="00BB166C" w:rsidRPr="000C342D" w:rsidRDefault="00BB166C" w:rsidP="000E01B8">
      <w:pPr>
        <w:spacing w:before="0" w:after="240" w:line="240" w:lineRule="auto"/>
        <w:jc w:val="both"/>
      </w:pPr>
      <w:r w:rsidRPr="000C342D">
        <w:rPr>
          <w:lang w:eastAsia="fr-FR"/>
        </w:rPr>
        <w:t xml:space="preserve">Avant de mettre un jouet sur le marché, les fabricants procèdent à une analyse des </w:t>
      </w:r>
      <w:r w:rsidRPr="009F36EF">
        <w:rPr>
          <w:lang w:eastAsia="fr-FR"/>
        </w:rPr>
        <w:t>dangers</w:t>
      </w:r>
      <w:r w:rsidRPr="000C342D">
        <w:rPr>
          <w:lang w:eastAsia="fr-FR"/>
        </w:rPr>
        <w:t xml:space="preserve"> de nature chimique, physique, mécanique, électrique, des risques d'inflammabilité, de radioactivité et en matière d'hygiène que le jouet peut présenter</w:t>
      </w:r>
      <w:r>
        <w:rPr>
          <w:lang w:eastAsia="fr-FR"/>
        </w:rPr>
        <w:t>,</w:t>
      </w:r>
      <w:r w:rsidRPr="000C342D">
        <w:rPr>
          <w:lang w:eastAsia="fr-FR"/>
        </w:rPr>
        <w:t xml:space="preserve"> et procèdent à une évaluation de l'exposition potentielle à ces </w:t>
      </w:r>
      <w:r w:rsidRPr="009F36EF">
        <w:rPr>
          <w:lang w:eastAsia="fr-FR"/>
        </w:rPr>
        <w:t>dangers</w:t>
      </w:r>
      <w:r w:rsidRPr="000C342D">
        <w:rPr>
          <w:lang w:eastAsia="fr-FR"/>
        </w:rPr>
        <w:t>.</w:t>
      </w:r>
    </w:p>
    <w:p w:rsidR="00BB166C" w:rsidRPr="00B01713" w:rsidRDefault="00BB166C" w:rsidP="000E01B8">
      <w:pPr>
        <w:spacing w:before="0" w:line="240" w:lineRule="auto"/>
        <w:rPr>
          <w:b/>
        </w:rPr>
      </w:pPr>
      <w:r>
        <w:rPr>
          <w:b/>
        </w:rPr>
        <w:t>Article 18</w:t>
      </w:r>
      <w:r w:rsidRPr="00B01713">
        <w:rPr>
          <w:b/>
        </w:rPr>
        <w:t xml:space="preserve">. - </w:t>
      </w:r>
      <w:r w:rsidRPr="009F36EF">
        <w:rPr>
          <w:b/>
          <w:i/>
        </w:rPr>
        <w:t>Procédures d’évaluation de la conformité applicables</w:t>
      </w:r>
    </w:p>
    <w:p w:rsidR="00BB166C" w:rsidRPr="000C342D" w:rsidRDefault="00BB166C" w:rsidP="000E01B8">
      <w:pPr>
        <w:pStyle w:val="ManualNumPar1"/>
        <w:spacing w:before="0" w:line="240" w:lineRule="auto"/>
        <w:jc w:val="both"/>
      </w:pPr>
      <w:r w:rsidRPr="000C342D">
        <w:t>(1)</w:t>
      </w:r>
      <w:r w:rsidRPr="000C342D">
        <w:tab/>
        <w:t>Avant de mettre un jouet sur le marché, les fabricants appliquent les procédures d'évaluation de la conformité visées aux paragraphes 2 et 3</w:t>
      </w:r>
      <w:r>
        <w:t>,</w:t>
      </w:r>
      <w:r w:rsidRPr="000C342D">
        <w:t xml:space="preserve"> afin de démontrer que le jouet satisfait aux exigences visées à l'article 10 et à l'annexe II.</w:t>
      </w:r>
    </w:p>
    <w:p w:rsidR="00BB166C" w:rsidRPr="00141894" w:rsidRDefault="00BB166C" w:rsidP="000E01B8">
      <w:pPr>
        <w:pStyle w:val="ManualNumPar1"/>
        <w:spacing w:before="0" w:line="240" w:lineRule="auto"/>
        <w:jc w:val="both"/>
        <w:rPr>
          <w:color w:val="000000"/>
        </w:rPr>
      </w:pPr>
      <w:r w:rsidRPr="000C342D">
        <w:t>(2)</w:t>
      </w:r>
      <w:r w:rsidRPr="000C342D">
        <w:tab/>
        <w:t xml:space="preserve">Si le fabricant a appliqué les normes harmonisées, dont le numéro de référence a été publié au </w:t>
      </w:r>
      <w:r w:rsidRPr="000C342D">
        <w:rPr>
          <w:i/>
        </w:rPr>
        <w:t>Journal officiel de l'Union européenne</w:t>
      </w:r>
      <w:r w:rsidRPr="000C342D">
        <w:t>, couvrant toutes les exigences de sécurité pertinentes pour le jouet, il utilise la procédure de contrôle de production interne figura</w:t>
      </w:r>
      <w:r>
        <w:t xml:space="preserve">nt </w:t>
      </w:r>
      <w:r w:rsidRPr="00141894">
        <w:rPr>
          <w:color w:val="000000"/>
        </w:rPr>
        <w:t>dans le module A de l'annexe II de la décision n° 768/2008/CE.</w:t>
      </w:r>
    </w:p>
    <w:p w:rsidR="00BB166C" w:rsidRPr="00141894" w:rsidRDefault="00BB166C" w:rsidP="000E01B8">
      <w:pPr>
        <w:pStyle w:val="ManualNumPar1"/>
        <w:spacing w:before="0" w:line="240" w:lineRule="auto"/>
        <w:ind w:left="851" w:hanging="851"/>
        <w:jc w:val="both"/>
        <w:rPr>
          <w:color w:val="000000"/>
        </w:rPr>
      </w:pPr>
      <w:r w:rsidRPr="00914211">
        <w:t>(3)</w:t>
      </w:r>
      <w:r w:rsidRPr="00914211">
        <w:tab/>
        <w:t>Le jouet est soumis à un examen CE de type visé à l'article 19, combiné à la procédure</w:t>
      </w:r>
      <w:r w:rsidRPr="000C342D">
        <w:t xml:space="preserve"> </w:t>
      </w:r>
      <w:r w:rsidRPr="00141894">
        <w:rPr>
          <w:color w:val="000000"/>
        </w:rPr>
        <w:t>« Conformité au type » présentée dans le module C de l'annexe II de la décision n° 768/2008/CE, dans les cas suivants :</w:t>
      </w:r>
    </w:p>
    <w:p w:rsidR="00BB166C" w:rsidRPr="000C342D" w:rsidRDefault="00BB166C" w:rsidP="000E01B8">
      <w:pPr>
        <w:pStyle w:val="Point1"/>
        <w:spacing w:before="0" w:line="240" w:lineRule="auto"/>
        <w:jc w:val="both"/>
      </w:pPr>
      <w:r w:rsidRPr="000C342D">
        <w:t>a)</w:t>
      </w:r>
      <w:r w:rsidRPr="000C342D">
        <w:tab/>
        <w:t xml:space="preserve">lorsque les normes harmonisées, dont le numéro de référence a été publié au </w:t>
      </w:r>
      <w:r w:rsidRPr="000C342D">
        <w:rPr>
          <w:i/>
        </w:rPr>
        <w:t>Journal officiel de l'Union européenne</w:t>
      </w:r>
      <w:r w:rsidRPr="000C342D">
        <w:t>, couvrant toutes les exigences de sécurité requises pour le jouet, n'existent pas ;</w:t>
      </w:r>
    </w:p>
    <w:p w:rsidR="00BB166C" w:rsidRPr="000C342D" w:rsidRDefault="00BB166C" w:rsidP="000E01B8">
      <w:pPr>
        <w:pStyle w:val="Point1"/>
        <w:spacing w:before="0" w:line="240" w:lineRule="auto"/>
        <w:jc w:val="both"/>
      </w:pPr>
      <w:r w:rsidRPr="000C342D">
        <w:t>b)</w:t>
      </w:r>
      <w:r w:rsidRPr="000C342D">
        <w:tab/>
        <w:t>lorsque les normes harmonisées visées au point a) existent, mais que le fabricant ne les a pas appliquées ou qu'en partie ;</w:t>
      </w:r>
    </w:p>
    <w:p w:rsidR="00BB166C" w:rsidRPr="000C342D" w:rsidRDefault="00BB166C" w:rsidP="000E01B8">
      <w:pPr>
        <w:pStyle w:val="Point1"/>
        <w:spacing w:before="0" w:line="240" w:lineRule="auto"/>
        <w:jc w:val="both"/>
      </w:pPr>
      <w:r w:rsidRPr="000C342D">
        <w:t>c)</w:t>
      </w:r>
      <w:r w:rsidRPr="000C342D">
        <w:tab/>
        <w:t>lorsque les normes harmonisées visées au point a), ou certaines d'entre elles, ont été publiées assorties d'une restriction ;</w:t>
      </w:r>
    </w:p>
    <w:p w:rsidR="00BB166C" w:rsidRPr="000C342D" w:rsidRDefault="00BB166C" w:rsidP="000E01B8">
      <w:pPr>
        <w:pStyle w:val="Point1"/>
        <w:spacing w:before="0" w:after="240" w:line="240" w:lineRule="auto"/>
        <w:ind w:left="1418"/>
        <w:jc w:val="both"/>
      </w:pPr>
      <w:r w:rsidRPr="000C342D">
        <w:t>d)</w:t>
      </w:r>
      <w:r w:rsidRPr="000C342D">
        <w:tab/>
        <w:t>lorsque le fabricant estime que la nature, la conception, la construction ou la destination du jouet nécessitent une vérification par un tiers.</w:t>
      </w:r>
    </w:p>
    <w:p w:rsidR="00BB166C" w:rsidRPr="003C0876" w:rsidRDefault="00BB166C" w:rsidP="000E01B8">
      <w:pPr>
        <w:spacing w:before="0" w:line="240" w:lineRule="auto"/>
        <w:rPr>
          <w:b/>
        </w:rPr>
      </w:pPr>
      <w:r>
        <w:rPr>
          <w:b/>
        </w:rPr>
        <w:t>Art. 19</w:t>
      </w:r>
      <w:r w:rsidRPr="003C0876">
        <w:rPr>
          <w:b/>
        </w:rPr>
        <w:t xml:space="preserve">. - </w:t>
      </w:r>
      <w:r w:rsidRPr="003C0876">
        <w:rPr>
          <w:b/>
          <w:i/>
        </w:rPr>
        <w:t>Examen CE de type</w:t>
      </w:r>
    </w:p>
    <w:p w:rsidR="00BB166C" w:rsidRPr="00141894" w:rsidRDefault="00BB166C" w:rsidP="000E01B8">
      <w:pPr>
        <w:pStyle w:val="ManualNumPar1"/>
        <w:spacing w:before="0" w:line="240" w:lineRule="auto"/>
        <w:jc w:val="both"/>
        <w:rPr>
          <w:color w:val="000000"/>
        </w:rPr>
      </w:pPr>
      <w:r w:rsidRPr="000C342D">
        <w:t>(1)</w:t>
      </w:r>
      <w:r w:rsidRPr="000C342D">
        <w:tab/>
        <w:t xml:space="preserve">Une demande d'examen CE de type, la réalisation de cet examen et l'émission d'un certificat d'examen CE de type sont effectuées conformément aux procédures figurant dans </w:t>
      </w:r>
      <w:r w:rsidRPr="00141894">
        <w:rPr>
          <w:color w:val="000000"/>
        </w:rPr>
        <w:t>le module B, à l'annexe II de la décision n° 768/2008/CE.</w:t>
      </w:r>
    </w:p>
    <w:p w:rsidR="00BB166C" w:rsidRPr="000C342D" w:rsidRDefault="00BB166C" w:rsidP="000E01B8">
      <w:pPr>
        <w:pStyle w:val="Text1"/>
        <w:spacing w:before="0" w:line="240" w:lineRule="auto"/>
        <w:jc w:val="both"/>
      </w:pPr>
      <w:r w:rsidRPr="000C342D">
        <w:t xml:space="preserve">L'examen CE de type est effectué de la manière décrite au paragraphe 2, second tiret, </w:t>
      </w:r>
      <w:r w:rsidRPr="000A7B10">
        <w:t>de ce module.</w:t>
      </w:r>
    </w:p>
    <w:p w:rsidR="00BB166C" w:rsidRPr="000C342D" w:rsidRDefault="00BB166C" w:rsidP="000E01B8">
      <w:pPr>
        <w:pStyle w:val="Text1"/>
        <w:spacing w:before="0" w:line="240" w:lineRule="auto"/>
        <w:jc w:val="both"/>
        <w:rPr>
          <w:lang w:eastAsia="de-DE"/>
        </w:rPr>
      </w:pPr>
      <w:r w:rsidRPr="000C342D">
        <w:t>Outre ces dispositions, les exigences visées aux paragraphes 2 à 5 du présent article s'appliquent.</w:t>
      </w:r>
    </w:p>
    <w:p w:rsidR="00BB166C" w:rsidRPr="000C342D" w:rsidRDefault="00BB166C" w:rsidP="000E01B8">
      <w:pPr>
        <w:pStyle w:val="ManualNumPar1"/>
        <w:spacing w:before="0" w:line="240" w:lineRule="auto"/>
        <w:jc w:val="both"/>
      </w:pPr>
      <w:r w:rsidRPr="000C342D">
        <w:t>(2)</w:t>
      </w:r>
      <w:r w:rsidRPr="000C342D">
        <w:tab/>
        <w:t>La demande d'examen CE de type comprend une description du jouet et une indication du lieu de fabrication, y compris l'adresse.</w:t>
      </w:r>
    </w:p>
    <w:p w:rsidR="00BB166C" w:rsidRPr="000C342D" w:rsidRDefault="00BB166C" w:rsidP="000E01B8">
      <w:pPr>
        <w:pStyle w:val="ManualNumPar1"/>
        <w:spacing w:before="0" w:line="240" w:lineRule="auto"/>
        <w:jc w:val="both"/>
      </w:pPr>
      <w:r w:rsidRPr="000C342D">
        <w:t>(3)</w:t>
      </w:r>
      <w:r w:rsidRPr="000C342D">
        <w:tab/>
        <w:t xml:space="preserve">Lorsqu'un organisme d'évaluation de la conformité notifié </w:t>
      </w:r>
      <w:r w:rsidRPr="000A7B10">
        <w:t>en vertu de</w:t>
      </w:r>
      <w:r w:rsidRPr="000C342D">
        <w:t xml:space="preserve"> l'article 22</w:t>
      </w:r>
      <w:r>
        <w:t xml:space="preserve"> (</w:t>
      </w:r>
      <w:r w:rsidRPr="000C342D">
        <w:t>ci-après dénommé « organisme notifié »</w:t>
      </w:r>
      <w:r>
        <w:t>)</w:t>
      </w:r>
      <w:r w:rsidRPr="000C342D">
        <w:t xml:space="preserve"> effectue un examen CE de type, il évalue, le cas échéant, conjointement avec le fabricant, l'analyse effectuée par le fabricant conformément à l'article 18 concernant les dangers que le jouet peut présenter.</w:t>
      </w:r>
    </w:p>
    <w:p w:rsidR="00BB166C" w:rsidRPr="000C342D" w:rsidRDefault="00BB166C" w:rsidP="000E01B8">
      <w:pPr>
        <w:pStyle w:val="ManualNumPar1"/>
        <w:spacing w:before="0" w:line="240" w:lineRule="auto"/>
        <w:jc w:val="both"/>
      </w:pPr>
      <w:r w:rsidRPr="000C342D">
        <w:t>(4)</w:t>
      </w:r>
      <w:r w:rsidRPr="000C342D">
        <w:tab/>
      </w:r>
      <w:r w:rsidRPr="000A7B10">
        <w:t>L’attestation</w:t>
      </w:r>
      <w:r w:rsidRPr="000C342D">
        <w:t xml:space="preserve"> d'examen CE de type comprend une référence </w:t>
      </w:r>
      <w:r w:rsidRPr="003C0876">
        <w:t xml:space="preserve">à la </w:t>
      </w:r>
      <w:r w:rsidRPr="000A7B10">
        <w:t xml:space="preserve">présente </w:t>
      </w:r>
      <w:r>
        <w:t>loi</w:t>
      </w:r>
      <w:r w:rsidRPr="000C342D">
        <w:t>, une représentation en couleur et une claire description du jouet, notamment ses dimensions, ainsi qu'une liste des essais effectués, accompagnée d'une référence au rapport d'essai correspondant.</w:t>
      </w:r>
    </w:p>
    <w:p w:rsidR="00BB166C" w:rsidRPr="000C342D" w:rsidRDefault="00BB166C" w:rsidP="000E01B8">
      <w:pPr>
        <w:pStyle w:val="Text1"/>
        <w:spacing w:before="0" w:line="240" w:lineRule="auto"/>
        <w:jc w:val="both"/>
      </w:pPr>
      <w:r w:rsidRPr="00115869">
        <w:t>L’attestation</w:t>
      </w:r>
      <w:r w:rsidRPr="000C342D">
        <w:t xml:space="preserve"> d'examen CE de type est revu à tout moment en cas de nécessité, notamment en cas de modification du processus de fabrication, des matières premières ou des composants du jouet, et, en tout état de cause, tous les cinq ans.</w:t>
      </w:r>
    </w:p>
    <w:p w:rsidR="00BB166C" w:rsidRPr="003C0876" w:rsidRDefault="00BB166C" w:rsidP="000E01B8">
      <w:pPr>
        <w:pStyle w:val="Text1"/>
        <w:spacing w:before="0" w:line="240" w:lineRule="auto"/>
        <w:jc w:val="both"/>
      </w:pPr>
      <w:r w:rsidRPr="00115869">
        <w:t>L’attestation</w:t>
      </w:r>
      <w:r w:rsidRPr="003C0876">
        <w:t xml:space="preserve"> d'examen CE de type est retiré si le jouet ne satisfait plus aux exigences visées à l'article 10 et à l'annexe II.</w:t>
      </w:r>
    </w:p>
    <w:p w:rsidR="00BB166C" w:rsidRPr="00005DCE" w:rsidRDefault="00BB166C" w:rsidP="000E01B8">
      <w:pPr>
        <w:pStyle w:val="Text1"/>
        <w:spacing w:before="0" w:line="240" w:lineRule="auto"/>
        <w:jc w:val="both"/>
      </w:pPr>
      <w:r w:rsidRPr="00005DCE">
        <w:t>L’institut veille à ce que leurs organismes notifiés n'accordent pas un certificat d'examen CE de type aux jouets auxquels un certificat a été refusé ou retiré.</w:t>
      </w:r>
    </w:p>
    <w:p w:rsidR="00BB166C" w:rsidRPr="007B1750" w:rsidRDefault="00BB166C" w:rsidP="000E01B8">
      <w:pPr>
        <w:pStyle w:val="ManualNumPar1"/>
        <w:spacing w:before="0" w:after="240" w:line="240" w:lineRule="auto"/>
        <w:ind w:left="851" w:hanging="851"/>
        <w:jc w:val="both"/>
      </w:pPr>
      <w:r w:rsidRPr="007B1750">
        <w:t>(5)</w:t>
      </w:r>
      <w:r w:rsidRPr="007B1750">
        <w:tab/>
        <w:t>La documentation technique et la correspondance se rapportant aux procédures de l'examen CE de type sont rédigées dans une langue officielle de l’État membre dans lequel est établi l’organisme notifié ou dans une langue acceptée par celui-ci.</w:t>
      </w:r>
    </w:p>
    <w:p w:rsidR="00BB166C" w:rsidRPr="00535BB9" w:rsidRDefault="00BB166C" w:rsidP="000E01B8">
      <w:pPr>
        <w:spacing w:before="0" w:line="240" w:lineRule="auto"/>
        <w:rPr>
          <w:b/>
        </w:rPr>
      </w:pPr>
      <w:r w:rsidRPr="00535BB9">
        <w:rPr>
          <w:b/>
        </w:rPr>
        <w:t xml:space="preserve">Art. 20. - </w:t>
      </w:r>
      <w:r w:rsidRPr="00535BB9">
        <w:rPr>
          <w:b/>
          <w:i/>
        </w:rPr>
        <w:t xml:space="preserve">Documentation technique </w:t>
      </w:r>
    </w:p>
    <w:p w:rsidR="00BB166C" w:rsidRPr="000C342D" w:rsidRDefault="00BB166C" w:rsidP="000E01B8">
      <w:pPr>
        <w:pStyle w:val="ManualNumPar1"/>
        <w:spacing w:before="0" w:line="240" w:lineRule="auto"/>
        <w:jc w:val="both"/>
      </w:pPr>
      <w:r w:rsidRPr="000C342D">
        <w:t>(1)</w:t>
      </w:r>
      <w:r w:rsidRPr="000C342D">
        <w:tab/>
      </w:r>
      <w:r w:rsidRPr="009A469D">
        <w:t>La documentation technique visée</w:t>
      </w:r>
      <w:r w:rsidRPr="000C342D">
        <w:t xml:space="preserve"> à l'article 4, paragraphe 2, contient l'ensemble des données et des </w:t>
      </w:r>
      <w:r w:rsidRPr="009A469D">
        <w:t>précisions</w:t>
      </w:r>
      <w:r w:rsidRPr="000C342D">
        <w:t xml:space="preserve"> pertinent</w:t>
      </w:r>
      <w:r>
        <w:t>e</w:t>
      </w:r>
      <w:r w:rsidRPr="000C342D">
        <w:t xml:space="preserve">s </w:t>
      </w:r>
      <w:r w:rsidRPr="009A469D">
        <w:t>quant aux</w:t>
      </w:r>
      <w:r w:rsidRPr="000C342D">
        <w:t xml:space="preserve"> moyens utilisés par le fabricant pour garantir que les jouets satisfont aux exigences visées à l'article 10 et à l'annexe II. </w:t>
      </w:r>
      <w:r>
        <w:t>Elle</w:t>
      </w:r>
      <w:r w:rsidRPr="000C342D">
        <w:t xml:space="preserve"> contient notamment les documents énumérés à l'annexe IV.</w:t>
      </w:r>
    </w:p>
    <w:p w:rsidR="00BB166C" w:rsidRPr="00535BB9" w:rsidRDefault="00BB166C" w:rsidP="000E01B8">
      <w:pPr>
        <w:pStyle w:val="ManualNumPar1"/>
        <w:spacing w:before="0" w:line="240" w:lineRule="auto"/>
        <w:jc w:val="both"/>
      </w:pPr>
      <w:r w:rsidRPr="00535BB9">
        <w:t>(2)</w:t>
      </w:r>
      <w:r w:rsidRPr="00535BB9">
        <w:tab/>
        <w:t>La documentation technique est rédigée dans une des langues officielles de la Communauté, sous réserve de l'exigence énoncée à l'article 19, paragraphe 5.</w:t>
      </w:r>
    </w:p>
    <w:p w:rsidR="00BB166C" w:rsidRPr="007B1750" w:rsidRDefault="00BB166C" w:rsidP="000E01B8">
      <w:pPr>
        <w:pStyle w:val="ManualNumPar1"/>
        <w:spacing w:before="0" w:line="240" w:lineRule="auto"/>
        <w:jc w:val="both"/>
      </w:pPr>
      <w:r w:rsidRPr="007B1750">
        <w:t>(3)</w:t>
      </w:r>
      <w:r w:rsidRPr="007B1750">
        <w:tab/>
        <w:t xml:space="preserve">Sur demande motivée de l’Institut, le fabricant fournit une traduction des parties pertinentes de la documentation technique en anglais ou dans une des </w:t>
      </w:r>
      <w:r>
        <w:t>trois</w:t>
      </w:r>
      <w:r w:rsidRPr="007B1750">
        <w:t xml:space="preserve"> langues administratives désignées dans la loi du 24 février 1984.</w:t>
      </w:r>
    </w:p>
    <w:p w:rsidR="00BB166C" w:rsidRPr="000C342D" w:rsidRDefault="00BB166C" w:rsidP="000E01B8">
      <w:pPr>
        <w:pStyle w:val="Text1"/>
        <w:spacing w:before="0" w:line="240" w:lineRule="auto"/>
        <w:jc w:val="both"/>
      </w:pPr>
      <w:r w:rsidRPr="000C342D">
        <w:t xml:space="preserve">Lorsque l’Institut demande à un fabricant </w:t>
      </w:r>
      <w:r w:rsidRPr="009A469D">
        <w:t>la documentation technique</w:t>
      </w:r>
      <w:r w:rsidRPr="000C342D">
        <w:t xml:space="preserve"> ou une traduction de certaines de ses parties, il </w:t>
      </w:r>
      <w:r w:rsidRPr="009A469D">
        <w:t>peut</w:t>
      </w:r>
      <w:r>
        <w:t xml:space="preserve"> </w:t>
      </w:r>
      <w:r w:rsidRPr="000C342D">
        <w:t>lui fixer un délai de 30 jours, sauf si un délai plus court est justifié en raison d'un risque sérieux et immédiat.</w:t>
      </w:r>
    </w:p>
    <w:p w:rsidR="00BB166C" w:rsidRPr="000C342D" w:rsidRDefault="00BB166C" w:rsidP="000E01B8">
      <w:pPr>
        <w:pStyle w:val="ManualNumPar1"/>
        <w:spacing w:before="0" w:after="360" w:line="240" w:lineRule="auto"/>
        <w:ind w:left="851" w:hanging="851"/>
        <w:jc w:val="both"/>
      </w:pPr>
      <w:r w:rsidRPr="000C342D">
        <w:t>(4)</w:t>
      </w:r>
      <w:r w:rsidRPr="000C342D">
        <w:tab/>
        <w:t xml:space="preserve">Si le fabricant ne respecte pas les obligations prévues aux paragraphes 1, 2 et 3, l’Institut peut exiger de ce fabricant </w:t>
      </w:r>
      <w:r>
        <w:t>qu’</w:t>
      </w:r>
      <w:r w:rsidRPr="000C342D">
        <w:t xml:space="preserve">un test </w:t>
      </w:r>
      <w:r>
        <w:t xml:space="preserve">soit </w:t>
      </w:r>
      <w:r w:rsidRPr="000C342D">
        <w:t>effectué</w:t>
      </w:r>
      <w:r>
        <w:t xml:space="preserve"> par un organisme notifié, aux frais de ce fabricant,</w:t>
      </w:r>
      <w:r w:rsidRPr="000C342D">
        <w:t xml:space="preserve"> dans un délai précis afin de vérifier le respect des normes harmonisées et des exigences essentielles de sécurité.</w:t>
      </w:r>
    </w:p>
    <w:p w:rsidR="00BB166C" w:rsidRPr="000C342D" w:rsidRDefault="00BB166C" w:rsidP="000E01B8">
      <w:pPr>
        <w:pStyle w:val="ChapterTitle"/>
        <w:spacing w:before="0" w:after="240" w:line="240" w:lineRule="auto"/>
        <w:rPr>
          <w:sz w:val="24"/>
        </w:rPr>
      </w:pPr>
      <w:r w:rsidRPr="000C342D">
        <w:rPr>
          <w:sz w:val="24"/>
        </w:rPr>
        <w:t>Chapitre 5 – Notification des organismes d’évaluation de la conformité</w:t>
      </w:r>
    </w:p>
    <w:p w:rsidR="00BB166C" w:rsidRPr="00447176" w:rsidRDefault="00BB166C" w:rsidP="000E01B8">
      <w:pPr>
        <w:spacing w:before="0" w:line="240" w:lineRule="auto"/>
        <w:rPr>
          <w:b/>
        </w:rPr>
      </w:pPr>
      <w:r>
        <w:rPr>
          <w:b/>
        </w:rPr>
        <w:t>Art. 21</w:t>
      </w:r>
      <w:r w:rsidRPr="00447176">
        <w:rPr>
          <w:b/>
        </w:rPr>
        <w:t xml:space="preserve">. </w:t>
      </w:r>
      <w:r>
        <w:rPr>
          <w:b/>
        </w:rPr>
        <w:t>–</w:t>
      </w:r>
      <w:r w:rsidRPr="00447176">
        <w:rPr>
          <w:b/>
        </w:rPr>
        <w:t xml:space="preserve"> </w:t>
      </w:r>
      <w:r w:rsidRPr="00447176">
        <w:rPr>
          <w:b/>
          <w:i/>
        </w:rPr>
        <w:t>Notificatio</w:t>
      </w:r>
      <w:r>
        <w:rPr>
          <w:b/>
          <w:i/>
        </w:rPr>
        <w:t>n</w:t>
      </w:r>
    </w:p>
    <w:p w:rsidR="00BB166C" w:rsidRPr="00B404C7" w:rsidRDefault="00BB166C" w:rsidP="000E01B8">
      <w:pPr>
        <w:spacing w:before="0" w:after="240" w:line="240" w:lineRule="auto"/>
        <w:jc w:val="both"/>
      </w:pPr>
      <w:r>
        <w:t>Conformément au paragraphe (2) de la loi du 28 mai 2008, l</w:t>
      </w:r>
      <w:r w:rsidRPr="000C342D">
        <w:t>e ministre ayant l’</w:t>
      </w:r>
      <w:r>
        <w:t>E</w:t>
      </w:r>
      <w:r w:rsidRPr="000C342D">
        <w:t xml:space="preserve">conomie dans ses attributions, ci-après dénommé le ministre, notifie à la </w:t>
      </w:r>
      <w:r>
        <w:t xml:space="preserve">Commission européenne </w:t>
      </w:r>
      <w:r w:rsidRPr="000C342D">
        <w:t>et aux autres États membres</w:t>
      </w:r>
      <w:r>
        <w:t>,</w:t>
      </w:r>
      <w:r w:rsidRPr="000C342D">
        <w:t xml:space="preserve"> les organismes </w:t>
      </w:r>
      <w:r w:rsidRPr="00B404C7">
        <w:t>autorisés à effectuer des tâches d'évaluation de la conformité par un tiers</w:t>
      </w:r>
      <w:r>
        <w:t>,</w:t>
      </w:r>
      <w:r w:rsidRPr="00B404C7">
        <w:t xml:space="preserve"> au titre de l'article 18</w:t>
      </w:r>
      <w:r>
        <w:t xml:space="preserve"> de la présente loi,</w:t>
      </w:r>
      <w:r w:rsidRPr="00AD6EC8">
        <w:t xml:space="preserve"> </w:t>
      </w:r>
      <w:r w:rsidRPr="000C342D">
        <w:t xml:space="preserve">après avoir demandé l’avis </w:t>
      </w:r>
      <w:r>
        <w:t>de l’Institut.</w:t>
      </w:r>
    </w:p>
    <w:p w:rsidR="00BB166C" w:rsidRPr="003B4871" w:rsidRDefault="00BB166C" w:rsidP="000E01B8">
      <w:pPr>
        <w:spacing w:before="0" w:line="240" w:lineRule="auto"/>
        <w:rPr>
          <w:b/>
        </w:rPr>
      </w:pPr>
      <w:r w:rsidRPr="003B4871">
        <w:rPr>
          <w:b/>
        </w:rPr>
        <w:t xml:space="preserve">Art. 22. - </w:t>
      </w:r>
      <w:r w:rsidRPr="003B4871">
        <w:rPr>
          <w:b/>
          <w:i/>
        </w:rPr>
        <w:t>Autorité notifiante</w:t>
      </w:r>
    </w:p>
    <w:p w:rsidR="00BB166C" w:rsidRDefault="00BB166C" w:rsidP="000E01B8">
      <w:pPr>
        <w:spacing w:before="0" w:after="240" w:line="240" w:lineRule="auto"/>
        <w:jc w:val="both"/>
      </w:pPr>
      <w:r w:rsidRPr="000C342D">
        <w:t xml:space="preserve">Conformément </w:t>
      </w:r>
      <w:r>
        <w:t>au paragraphe (1)</w:t>
      </w:r>
      <w:r w:rsidRPr="000C342D">
        <w:t xml:space="preserve"> </w:t>
      </w:r>
      <w:r>
        <w:t xml:space="preserve">de </w:t>
      </w:r>
      <w:r w:rsidRPr="000C342D">
        <w:t xml:space="preserve">l’article 9 de la loi du 20 mai 2008, </w:t>
      </w:r>
      <w:r>
        <w:t xml:space="preserve">l’Institut assiste </w:t>
      </w:r>
      <w:r w:rsidRPr="000C342D">
        <w:t xml:space="preserve">le ministre </w:t>
      </w:r>
      <w:r>
        <w:t>dans sa mission d’autorité de notification dans le cadre de la présente loi</w:t>
      </w:r>
      <w:r w:rsidRPr="008427B9">
        <w:t>.</w:t>
      </w:r>
    </w:p>
    <w:p w:rsidR="00BB166C" w:rsidRPr="000C342D" w:rsidRDefault="00BB166C" w:rsidP="000E01B8">
      <w:pPr>
        <w:spacing w:before="0" w:line="240" w:lineRule="auto"/>
        <w:rPr>
          <w:b/>
        </w:rPr>
      </w:pPr>
      <w:r>
        <w:rPr>
          <w:b/>
        </w:rPr>
        <w:t>Art. 23</w:t>
      </w:r>
      <w:r w:rsidRPr="000C342D">
        <w:rPr>
          <w:b/>
        </w:rPr>
        <w:t xml:space="preserve"> - </w:t>
      </w:r>
      <w:r w:rsidRPr="000C342D">
        <w:rPr>
          <w:b/>
          <w:i/>
        </w:rPr>
        <w:t xml:space="preserve">Obligation d'information </w:t>
      </w:r>
      <w:r>
        <w:rPr>
          <w:b/>
          <w:i/>
        </w:rPr>
        <w:t xml:space="preserve">de l’Institut </w:t>
      </w:r>
    </w:p>
    <w:p w:rsidR="00BB166C" w:rsidRPr="000C342D" w:rsidRDefault="00BB166C" w:rsidP="000E01B8">
      <w:pPr>
        <w:spacing w:before="0" w:after="240" w:line="240" w:lineRule="auto"/>
        <w:jc w:val="both"/>
      </w:pPr>
      <w:r>
        <w:t>L’Institut</w:t>
      </w:r>
      <w:r w:rsidRPr="000C342D">
        <w:t xml:space="preserve"> informe la </w:t>
      </w:r>
      <w:r>
        <w:t>Commission européenne des</w:t>
      </w:r>
      <w:r w:rsidRPr="000C342D">
        <w:t xml:space="preserve"> procédures concernant l'évaluation et la notification des organismes d'évaluation de la conformité ainsi que le contrôle des organismes notifiés, et de toute modification en la matière.</w:t>
      </w:r>
    </w:p>
    <w:p w:rsidR="00BB166C" w:rsidRPr="000C342D" w:rsidRDefault="00BB166C" w:rsidP="000E01B8">
      <w:pPr>
        <w:spacing w:before="0" w:line="240" w:lineRule="auto"/>
        <w:rPr>
          <w:b/>
        </w:rPr>
      </w:pPr>
      <w:r>
        <w:rPr>
          <w:b/>
        </w:rPr>
        <w:br w:type="page"/>
        <w:t>Art. 24</w:t>
      </w:r>
      <w:r w:rsidRPr="000C342D">
        <w:rPr>
          <w:b/>
        </w:rPr>
        <w:t xml:space="preserve">. - </w:t>
      </w:r>
      <w:r w:rsidRPr="000C342D">
        <w:rPr>
          <w:b/>
          <w:i/>
        </w:rPr>
        <w:t>Exigences concernant les organismes notifiés</w:t>
      </w:r>
    </w:p>
    <w:p w:rsidR="00BB166C" w:rsidRPr="000C342D" w:rsidRDefault="00BB166C" w:rsidP="000E01B8">
      <w:pPr>
        <w:pStyle w:val="ManualNumPar1"/>
        <w:spacing w:before="0" w:line="240" w:lineRule="auto"/>
        <w:jc w:val="both"/>
      </w:pPr>
      <w:r w:rsidRPr="000C342D">
        <w:t>(1)</w:t>
      </w:r>
      <w:r w:rsidRPr="000C342D">
        <w:tab/>
        <w:t xml:space="preserve">Aux fins de la notification dans le cadre de la présente </w:t>
      </w:r>
      <w:r>
        <w:t>loi</w:t>
      </w:r>
      <w:r w:rsidRPr="000C342D">
        <w:t>, un organisme d'évaluation de la conformité répond aux exigences fixées aux paragraphes 2 à 11.</w:t>
      </w:r>
    </w:p>
    <w:p w:rsidR="00BB166C" w:rsidRPr="000C342D" w:rsidRDefault="00BB166C" w:rsidP="000E01B8">
      <w:pPr>
        <w:pStyle w:val="ManualNumPar1"/>
        <w:spacing w:before="0" w:line="240" w:lineRule="auto"/>
        <w:jc w:val="both"/>
      </w:pPr>
      <w:r w:rsidRPr="000C342D">
        <w:t>(2)</w:t>
      </w:r>
      <w:r w:rsidRPr="000C342D">
        <w:tab/>
        <w:t>Les organismes d'évaluation de la conformité sont constitués en vertu du droit national et possèdent la personnalité juridique.</w:t>
      </w:r>
    </w:p>
    <w:p w:rsidR="00BB166C" w:rsidRPr="000C342D" w:rsidRDefault="00BB166C" w:rsidP="000E01B8">
      <w:pPr>
        <w:pStyle w:val="ManualNumPar1"/>
        <w:spacing w:before="0" w:line="240" w:lineRule="auto"/>
        <w:jc w:val="both"/>
      </w:pPr>
      <w:r w:rsidRPr="000C342D">
        <w:t>(3)</w:t>
      </w:r>
      <w:r w:rsidRPr="000C342D">
        <w:tab/>
        <w:t>Un organisme d'évaluation de la conformité doit être un organisme tiers indépendant de l'organisation ou du jouet qu'il évalue.</w:t>
      </w:r>
    </w:p>
    <w:p w:rsidR="00BB166C" w:rsidRPr="000C342D" w:rsidRDefault="00BB166C" w:rsidP="000E01B8">
      <w:pPr>
        <w:pStyle w:val="Text1"/>
        <w:spacing w:before="0" w:line="240" w:lineRule="auto"/>
        <w:jc w:val="both"/>
        <w:rPr>
          <w:lang w:eastAsia="de-DE"/>
        </w:rPr>
      </w:pPr>
      <w:r w:rsidRPr="000C342D">
        <w:t>Un organisme issu d'une association d'entreprises ou d'une fédération professionnelle représentant des entreprises engagées dans la conception, la fabrication, la fourniture, l'assemblage, l'utilisation ou l'entretien des jouets qu'il évalue, peut, à condition que son indépendance et l'absence de tout conflit d'intérêts soient démontrées, être considéré comme tel.</w:t>
      </w:r>
    </w:p>
    <w:p w:rsidR="00BB166C" w:rsidRPr="000C342D" w:rsidRDefault="00BB166C" w:rsidP="000E01B8">
      <w:pPr>
        <w:pStyle w:val="ManualNumPar1"/>
        <w:spacing w:before="0" w:line="240" w:lineRule="auto"/>
        <w:jc w:val="both"/>
      </w:pPr>
      <w:r w:rsidRPr="000C342D">
        <w:t>(4)</w:t>
      </w:r>
      <w:r w:rsidRPr="000C342D">
        <w:tab/>
        <w:t xml:space="preserve">Un organisme d'évaluation de la conformité, ses cadres supérieurs et le personnel chargé d'exécuter les tâches d'évaluation de la conformité ne peuvent être le concepteur, le fabricant, le fournisseur, l'installateur, l'acheteur, le propriétaire, l'utilisateur ou le responsable de l'entretien des jouets qu'ils évaluent, ni le mandataire d'aucune de ces parties. </w:t>
      </w:r>
      <w:r w:rsidRPr="00C14EE8">
        <w:rPr>
          <w:color w:val="000000"/>
        </w:rPr>
        <w:t>Cela n'exclut pas l'utilisation de jouets évalués qui sont nécessaires</w:t>
      </w:r>
      <w:r w:rsidRPr="000C342D">
        <w:t xml:space="preserve"> au fonctionnement de l'organisme d'évaluation de la conformité ou l'utilisation de tels jouets à des fins personnelles.</w:t>
      </w:r>
    </w:p>
    <w:p w:rsidR="00BB166C" w:rsidRPr="000C342D" w:rsidRDefault="00BB166C" w:rsidP="000E01B8">
      <w:pPr>
        <w:pStyle w:val="Text1"/>
        <w:spacing w:before="0" w:line="240" w:lineRule="auto"/>
        <w:jc w:val="both"/>
      </w:pPr>
      <w:r w:rsidRPr="000C342D">
        <w:t xml:space="preserve">Un organisme d'évaluation de la conformité, ses cadres supérieurs et le personnel chargés d'exécuter les tâches d'évaluation de la conformité ne peuvent intervenir, ni directement ni comme mandataires, dans la conception, la fabrication, la commercialisation, l'installation, l'utilisation ou l'entretien de ces jouets. Ils ne </w:t>
      </w:r>
      <w:r w:rsidRPr="00297205">
        <w:t>s’engagent</w:t>
      </w:r>
      <w:r w:rsidRPr="000C342D">
        <w:t xml:space="preserve"> dans une activité </w:t>
      </w:r>
      <w:r w:rsidRPr="00297205">
        <w:t>pouvant</w:t>
      </w:r>
      <w:r w:rsidRPr="000C342D">
        <w:t xml:space="preserve"> compromettre leur indépendance de jugement ou leur intégrité à l'égard des activités d'évaluation de la conformité pour lesquelles ils sont notifiés. Ceci s'applique notamment aux services de conseil.</w:t>
      </w:r>
    </w:p>
    <w:p w:rsidR="00BB166C" w:rsidRPr="000C342D" w:rsidRDefault="00BB166C" w:rsidP="000E01B8">
      <w:pPr>
        <w:pStyle w:val="Text1"/>
        <w:spacing w:before="0" w:line="240" w:lineRule="auto"/>
        <w:jc w:val="both"/>
      </w:pPr>
      <w:r w:rsidRPr="000C342D">
        <w:t>Les organismes d'évaluation de la conformité veillent à ce que les activités de leurs filiales ou sous-traitants n'affectent pas la confidentialité, l'objectivité ou l'impartialité de leurs activités d'évaluation de la conformité.</w:t>
      </w:r>
    </w:p>
    <w:p w:rsidR="00BB166C" w:rsidRPr="000C342D" w:rsidRDefault="00BB166C" w:rsidP="000E01B8">
      <w:pPr>
        <w:pStyle w:val="ManualNumPar1"/>
        <w:spacing w:before="0" w:line="240" w:lineRule="auto"/>
        <w:jc w:val="both"/>
      </w:pPr>
      <w:r w:rsidRPr="000C342D">
        <w:t>(5)</w:t>
      </w:r>
      <w:r w:rsidRPr="000C342D">
        <w:tab/>
        <w:t>Les organismes d'évaluation de la conformité et leur personnel accomplissent les activités d'évaluation de la conformité avec la plus haute intégrité professionnelle et la plus grande compétence technique requise dans le domaine spécifique et doivent être à l'abri de toute pression et incitation, notamment d'ordre financier, susceptibles d'influencer leur jugement ou les résultats de leurs travaux d'évaluation de la conformité, notamment de la part de personnes ou groupes de personnes intéressés par ces résultats.</w:t>
      </w:r>
    </w:p>
    <w:p w:rsidR="00BB166C" w:rsidRPr="000C342D" w:rsidRDefault="00BB166C" w:rsidP="000E01B8">
      <w:pPr>
        <w:pStyle w:val="ManualNumPar1"/>
        <w:spacing w:before="0" w:line="240" w:lineRule="auto"/>
        <w:jc w:val="both"/>
      </w:pPr>
      <w:r w:rsidRPr="000C342D">
        <w:t>(6)</w:t>
      </w:r>
      <w:r w:rsidRPr="000C342D">
        <w:tab/>
        <w:t>L'organisme d'évaluation de la conformité doit être capable d'exécuter toutes les tâches d'évaluation de la conformité qui lui ont été assignées conformément à l'article 20 et pour lesquelles il a été notifié, que ces tâches soient exécutées par lui-même ou en son nom et sous sa responsabilité.</w:t>
      </w:r>
    </w:p>
    <w:p w:rsidR="00BB166C" w:rsidRPr="000C342D" w:rsidRDefault="00BB166C" w:rsidP="000E01B8">
      <w:pPr>
        <w:pStyle w:val="Text1"/>
        <w:spacing w:before="0" w:line="240" w:lineRule="auto"/>
        <w:jc w:val="both"/>
      </w:pPr>
      <w:r w:rsidRPr="000C342D">
        <w:t>À tout moment et pour chaque procédure d'évaluation de la conformité, ainsi que tout type ou toute catégorie de jouet pour lesquels il a été notifié, l'organisme d'évaluation de la conformité dispose:</w:t>
      </w:r>
    </w:p>
    <w:p w:rsidR="00BB166C" w:rsidRPr="000C342D" w:rsidRDefault="00BB166C" w:rsidP="000E01B8">
      <w:pPr>
        <w:pStyle w:val="Point1"/>
        <w:spacing w:before="0" w:line="240" w:lineRule="auto"/>
        <w:jc w:val="both"/>
      </w:pPr>
      <w:r w:rsidRPr="000C342D">
        <w:t>a)</w:t>
      </w:r>
      <w:r w:rsidRPr="000C342D">
        <w:tab/>
        <w:t>du personnel requis ayant les connaissances techniques et l'expérience suffisante et appropriée pour effectuer les tâches d'évaluation de la conformité;</w:t>
      </w:r>
    </w:p>
    <w:p w:rsidR="00BB166C" w:rsidRPr="000C342D" w:rsidRDefault="00BB166C" w:rsidP="000E01B8">
      <w:pPr>
        <w:pStyle w:val="Point1"/>
        <w:spacing w:before="0" w:line="240" w:lineRule="auto"/>
        <w:jc w:val="both"/>
      </w:pPr>
      <w:r w:rsidRPr="000C342D">
        <w:t>b)</w:t>
      </w:r>
      <w:r w:rsidRPr="000C342D">
        <w:tab/>
        <w:t>de descriptions des procédures selon lesquelles l'évaluation de conformité est effectuée, en veillant à la transparence et à la reproductibilité de ces procédures; il se dote de méthodes et de procédures qui distinguent entre les tâches qu'il effectue en qualité d'organisme notifié et ses autres activités;</w:t>
      </w:r>
    </w:p>
    <w:p w:rsidR="00BB166C" w:rsidRPr="000C342D" w:rsidRDefault="00BB166C" w:rsidP="000E01B8">
      <w:pPr>
        <w:pStyle w:val="Point1"/>
        <w:spacing w:before="0" w:line="240" w:lineRule="auto"/>
        <w:jc w:val="both"/>
      </w:pPr>
      <w:r w:rsidRPr="000C342D">
        <w:t>c)</w:t>
      </w:r>
      <w:r w:rsidRPr="000C342D">
        <w:tab/>
        <w:t>de procédures pour l'exercice d'activités qui tiennent dûment compte de la taille de l'entreprise, du secteur dans lequel elle opère, de sa structure, du degré de complexité de la technique de production employée et du caractère en masse ou de série du processus de production.</w:t>
      </w:r>
    </w:p>
    <w:p w:rsidR="00BB166C" w:rsidRPr="000C342D" w:rsidRDefault="00BB166C" w:rsidP="000E01B8">
      <w:pPr>
        <w:pStyle w:val="Text1"/>
        <w:spacing w:before="0" w:line="240" w:lineRule="auto"/>
        <w:jc w:val="both"/>
      </w:pPr>
      <w:r w:rsidRPr="000C342D">
        <w:t>L'organisme d'évaluation de la conformité se dote des moyens nécessaires à la bonne exécution des tâches techniques et administratives liées aux activités d'évaluation de la conformité et a accès à tous les équipements ou installations nécessaires.</w:t>
      </w:r>
    </w:p>
    <w:p w:rsidR="00BB166C" w:rsidRPr="000C342D" w:rsidRDefault="00BB166C" w:rsidP="000E01B8">
      <w:pPr>
        <w:pStyle w:val="ManualNumPar1"/>
        <w:spacing w:before="0" w:line="240" w:lineRule="auto"/>
        <w:jc w:val="both"/>
      </w:pPr>
      <w:r w:rsidRPr="000C342D">
        <w:t>(7)</w:t>
      </w:r>
      <w:r w:rsidRPr="000C342D">
        <w:tab/>
        <w:t>Le personnel chargé de l'exécution des activités d'évaluation de la conformité possède:</w:t>
      </w:r>
    </w:p>
    <w:p w:rsidR="00BB166C" w:rsidRPr="000C342D" w:rsidRDefault="00BB166C" w:rsidP="000E01B8">
      <w:pPr>
        <w:pStyle w:val="Point1"/>
        <w:spacing w:before="0" w:line="240" w:lineRule="auto"/>
        <w:jc w:val="both"/>
      </w:pPr>
      <w:r w:rsidRPr="000C342D">
        <w:t>a)</w:t>
      </w:r>
      <w:r w:rsidRPr="000C342D">
        <w:tab/>
        <w:t>une solide formation technique et professionnelle couvrant toutes les activités d'évaluation de la conformité du domaine pertinent, pour lesquelles l'organisme d'évaluation de la conformité a été notifié;</w:t>
      </w:r>
    </w:p>
    <w:p w:rsidR="00BB166C" w:rsidRPr="000C342D" w:rsidRDefault="00BB166C" w:rsidP="000E01B8">
      <w:pPr>
        <w:pStyle w:val="Point1"/>
        <w:spacing w:before="0" w:line="240" w:lineRule="auto"/>
        <w:jc w:val="both"/>
      </w:pPr>
      <w:r w:rsidRPr="000C342D">
        <w:t>b)</w:t>
      </w:r>
      <w:r w:rsidRPr="000C342D">
        <w:tab/>
        <w:t>une connaissance satisfaisante des exigences applicables aux évaluations qu'il effectue et l'autorité nécessaire pour effectuer ces évaluations;</w:t>
      </w:r>
    </w:p>
    <w:p w:rsidR="00BB166C" w:rsidRPr="000C342D" w:rsidRDefault="00BB166C" w:rsidP="000E01B8">
      <w:pPr>
        <w:pStyle w:val="Point1"/>
        <w:spacing w:before="0" w:line="240" w:lineRule="auto"/>
        <w:jc w:val="both"/>
      </w:pPr>
      <w:r w:rsidRPr="000C342D">
        <w:t>c)</w:t>
      </w:r>
      <w:r w:rsidRPr="000C342D">
        <w:tab/>
        <w:t>une connaissance et une compréhension adéquates des exigences essentielles, des normes harmonisées applicables ainsi que des dispositions de la législation communautaire d'harmonisation pertinente et de ses règlements d'application;</w:t>
      </w:r>
    </w:p>
    <w:p w:rsidR="00BB166C" w:rsidRPr="000C342D" w:rsidRDefault="00BB166C" w:rsidP="000E01B8">
      <w:pPr>
        <w:pStyle w:val="Point1"/>
        <w:spacing w:before="0" w:line="240" w:lineRule="auto"/>
        <w:jc w:val="both"/>
      </w:pPr>
      <w:r w:rsidRPr="000C342D">
        <w:t>d)</w:t>
      </w:r>
      <w:r w:rsidRPr="000C342D">
        <w:tab/>
        <w:t>l'aptitude nécessaire pour rédiger les attestations, procès-verbaux et rapports qui constituent la matérialisation des évaluations effectuées.</w:t>
      </w:r>
    </w:p>
    <w:p w:rsidR="00BB166C" w:rsidRPr="000C342D" w:rsidRDefault="00BB166C" w:rsidP="000E01B8">
      <w:pPr>
        <w:pStyle w:val="ManualNumPar1"/>
        <w:spacing w:before="0" w:line="240" w:lineRule="auto"/>
        <w:jc w:val="both"/>
      </w:pPr>
      <w:r w:rsidRPr="000C342D">
        <w:t>(8)</w:t>
      </w:r>
      <w:r w:rsidRPr="000C342D">
        <w:tab/>
        <w:t>L'impartialité des organismes d'évaluation de la conformité, de leurs cadres supérieurs et du personnel effectuant l'évaluation doit être garantie.</w:t>
      </w:r>
    </w:p>
    <w:p w:rsidR="00BB166C" w:rsidRPr="000C342D" w:rsidRDefault="00BB166C" w:rsidP="000E01B8">
      <w:pPr>
        <w:pStyle w:val="Text1"/>
        <w:spacing w:before="0" w:line="240" w:lineRule="auto"/>
        <w:jc w:val="both"/>
      </w:pPr>
      <w:r w:rsidRPr="000C342D">
        <w:t>La rémunération des cadres supérieurs et du personnel chargé de l'évaluation au sein d'un organisme d'évaluation de la conformité ne peut dépendre ni du nombre d'évaluations effectuées, ni de leurs résultats.</w:t>
      </w:r>
    </w:p>
    <w:p w:rsidR="00BB166C" w:rsidRPr="00535BB9" w:rsidRDefault="00BB166C" w:rsidP="000E01B8">
      <w:pPr>
        <w:pStyle w:val="ManualNumPar1"/>
        <w:spacing w:before="0" w:line="240" w:lineRule="auto"/>
        <w:jc w:val="both"/>
      </w:pPr>
      <w:r w:rsidRPr="00535BB9">
        <w:t>(9)</w:t>
      </w:r>
      <w:r w:rsidRPr="00535BB9">
        <w:tab/>
        <w:t>Les organismes d'évaluation de la conformité souscrivent une assurance de responsabilité civile, à moins que l'évaluation de la conformité ne soit effectuée sous la responsabilité directe de l’Etat luxembourgeois.</w:t>
      </w:r>
    </w:p>
    <w:p w:rsidR="00BB166C" w:rsidRPr="00535BB9" w:rsidRDefault="00BB166C" w:rsidP="000E01B8">
      <w:pPr>
        <w:pStyle w:val="ManualNumPar1"/>
        <w:spacing w:before="0" w:line="240" w:lineRule="auto"/>
        <w:jc w:val="both"/>
      </w:pPr>
      <w:r w:rsidRPr="00535BB9">
        <w:t>(10)</w:t>
      </w:r>
      <w:r w:rsidRPr="00535BB9">
        <w:tab/>
        <w:t xml:space="preserve">Le personnel d'un organisme d'évaluation de la conformité est lié par le secret professionnel à l'égard de l'ensemble des informations qu'il obtient dans l'exercice de ses fonctions en vertu de l'article 19 ou de toute disposition de droit national lui donnant effet, sauf à l'égard </w:t>
      </w:r>
      <w:r>
        <w:t>de l’Institut</w:t>
      </w:r>
      <w:r w:rsidRPr="00535BB9">
        <w:t>. Les droits de propriété sont protégés.</w:t>
      </w:r>
    </w:p>
    <w:p w:rsidR="00BB166C" w:rsidRPr="000C342D" w:rsidRDefault="00BB166C" w:rsidP="000E01B8">
      <w:pPr>
        <w:pStyle w:val="ManualNumPar1"/>
        <w:spacing w:before="0" w:after="240" w:line="240" w:lineRule="auto"/>
        <w:ind w:left="851" w:hanging="851"/>
        <w:jc w:val="both"/>
      </w:pPr>
      <w:r w:rsidRPr="000C342D">
        <w:t>(11)</w:t>
      </w:r>
      <w:r w:rsidRPr="000C342D">
        <w:tab/>
        <w:t xml:space="preserve">Les organismes d'évaluation de la conformité participent aux activités de normalisation pertinentes et aux activités du groupe de coordination de l'organisme notifié établi en vertu </w:t>
      </w:r>
      <w:r w:rsidRPr="00EC4998">
        <w:t>de l'article 33, ou veillent à ce que leur personnel d'évaluation en soit informé, et applique</w:t>
      </w:r>
      <w:r w:rsidRPr="000C342D">
        <w:t xml:space="preserve"> comme lignes directrices les décisions et les documents administratifs résultant du travail de ce groupe.</w:t>
      </w:r>
    </w:p>
    <w:p w:rsidR="00BB166C" w:rsidRPr="000C342D" w:rsidRDefault="00BB166C" w:rsidP="000E01B8">
      <w:pPr>
        <w:spacing w:before="0" w:line="240" w:lineRule="auto"/>
        <w:rPr>
          <w:b/>
        </w:rPr>
      </w:pPr>
      <w:r>
        <w:rPr>
          <w:b/>
        </w:rPr>
        <w:t>Art. 25</w:t>
      </w:r>
      <w:r w:rsidRPr="000C342D">
        <w:rPr>
          <w:b/>
        </w:rPr>
        <w:t xml:space="preserve">. - </w:t>
      </w:r>
      <w:r w:rsidRPr="000C342D">
        <w:rPr>
          <w:b/>
          <w:i/>
        </w:rPr>
        <w:t>Présomption de conformité</w:t>
      </w:r>
    </w:p>
    <w:p w:rsidR="00BB166C" w:rsidRPr="000C342D" w:rsidRDefault="00BB166C" w:rsidP="000E01B8">
      <w:pPr>
        <w:spacing w:before="0" w:after="240" w:line="240" w:lineRule="auto"/>
        <w:jc w:val="both"/>
      </w:pPr>
      <w:r w:rsidRPr="000C342D">
        <w:t xml:space="preserve">Lorsqu'un organisme d'évaluation de la conformité démontre sa conformité aux critères applicables ou à une partie d'entre eux, exposés dans les normes harmonisées dont les références ont été publiées au </w:t>
      </w:r>
      <w:r w:rsidRPr="000C342D">
        <w:rPr>
          <w:i/>
        </w:rPr>
        <w:t>Journal officiel de l'Union européenne</w:t>
      </w:r>
      <w:r w:rsidRPr="000C342D">
        <w:t>, il est présumé répondre aux e</w:t>
      </w:r>
      <w:r>
        <w:t>xigences définies à l'article 24</w:t>
      </w:r>
      <w:r w:rsidRPr="000C342D">
        <w:t>, dans la mesure où ces exigences sont couvertes par les normes harmonisées applicables.</w:t>
      </w:r>
    </w:p>
    <w:p w:rsidR="00BB166C" w:rsidRPr="00407A5D" w:rsidRDefault="00BB166C" w:rsidP="000E01B8">
      <w:pPr>
        <w:spacing w:before="0" w:line="240" w:lineRule="auto"/>
        <w:rPr>
          <w:b/>
        </w:rPr>
      </w:pPr>
      <w:r>
        <w:rPr>
          <w:b/>
        </w:rPr>
        <w:br w:type="page"/>
      </w:r>
      <w:r w:rsidRPr="00407A5D">
        <w:rPr>
          <w:b/>
        </w:rPr>
        <w:t xml:space="preserve">Art. 26. - </w:t>
      </w:r>
      <w:r w:rsidRPr="00407A5D">
        <w:rPr>
          <w:b/>
          <w:i/>
        </w:rPr>
        <w:t>Filiales et sous-traitants des organismes notifiés</w:t>
      </w:r>
    </w:p>
    <w:p w:rsidR="00BB166C" w:rsidRPr="000C342D" w:rsidRDefault="00BB166C" w:rsidP="000E01B8">
      <w:pPr>
        <w:pStyle w:val="ManualNumPar1"/>
        <w:spacing w:before="0" w:line="240" w:lineRule="auto"/>
        <w:jc w:val="both"/>
      </w:pPr>
      <w:r w:rsidRPr="000C342D">
        <w:t>(1)</w:t>
      </w:r>
      <w:r w:rsidRPr="000C342D">
        <w:tab/>
        <w:t>Lorsque l'organisme notifié sous-traite certaines tâches spécifiques dans le cadre de l'évaluation de la conformité ou a recours à une filiale, il s'assure que le sous-traitant ou la filiale répond aux e</w:t>
      </w:r>
      <w:r>
        <w:t>xigences définies à l'article 24</w:t>
      </w:r>
      <w:r w:rsidRPr="000C342D">
        <w:t xml:space="preserve"> et il en informe l'autorité notifiante.</w:t>
      </w:r>
    </w:p>
    <w:p w:rsidR="00BB166C" w:rsidRPr="000C342D" w:rsidRDefault="00BB166C" w:rsidP="000E01B8">
      <w:pPr>
        <w:pStyle w:val="ManualNumPar1"/>
        <w:spacing w:before="0" w:line="240" w:lineRule="auto"/>
        <w:jc w:val="both"/>
      </w:pPr>
      <w:r w:rsidRPr="000C342D">
        <w:t>(2)</w:t>
      </w:r>
      <w:r w:rsidRPr="000C342D">
        <w:tab/>
        <w:t>L'organisme notifié assume l'entière responsabilité des tâches effectuées par des sous-traitants ou des filiales, quel que soit leur lieu d'établissement.</w:t>
      </w:r>
    </w:p>
    <w:p w:rsidR="00BB166C" w:rsidRPr="000C342D" w:rsidRDefault="00BB166C" w:rsidP="000E01B8">
      <w:pPr>
        <w:pStyle w:val="ManualNumPar1"/>
        <w:spacing w:before="0" w:line="240" w:lineRule="auto"/>
        <w:jc w:val="both"/>
      </w:pPr>
      <w:r w:rsidRPr="000C342D">
        <w:t>(3)</w:t>
      </w:r>
      <w:r w:rsidRPr="000C342D">
        <w:tab/>
        <w:t>Des activités ne peuvent être sous-traitées ou réalisées par une filiale qu'avec l'accord du client.</w:t>
      </w:r>
    </w:p>
    <w:p w:rsidR="00BB166C" w:rsidRPr="000C342D" w:rsidRDefault="00BB166C" w:rsidP="000E01B8">
      <w:pPr>
        <w:pStyle w:val="ManualNumPar1"/>
        <w:spacing w:before="0" w:after="240" w:line="240" w:lineRule="auto"/>
        <w:ind w:left="851" w:hanging="851"/>
        <w:jc w:val="both"/>
      </w:pPr>
      <w:r w:rsidRPr="000C342D">
        <w:t>(4)</w:t>
      </w:r>
      <w:r w:rsidRPr="000C342D">
        <w:tab/>
        <w:t>L'organisme notifié tient à la disposition de l'autorité notifiante les documents pertinents concernant l'évaluation des qualifications du sous-traitant ou de la filiale et le travail qu'ils on</w:t>
      </w:r>
      <w:r>
        <w:t>t exécuté en vertu de l'article 19</w:t>
      </w:r>
      <w:r w:rsidRPr="000C342D">
        <w:t>.</w:t>
      </w:r>
    </w:p>
    <w:p w:rsidR="00BB166C" w:rsidRPr="001220C3" w:rsidRDefault="00BB166C" w:rsidP="000E01B8">
      <w:pPr>
        <w:spacing w:before="0" w:line="240" w:lineRule="auto"/>
        <w:rPr>
          <w:b/>
        </w:rPr>
      </w:pPr>
      <w:r w:rsidRPr="001220C3">
        <w:rPr>
          <w:b/>
        </w:rPr>
        <w:t xml:space="preserve">Art. 27. - </w:t>
      </w:r>
      <w:r w:rsidRPr="001220C3">
        <w:rPr>
          <w:b/>
          <w:i/>
        </w:rPr>
        <w:t>Demande de notification</w:t>
      </w:r>
    </w:p>
    <w:p w:rsidR="00BB166C" w:rsidRPr="000C342D" w:rsidRDefault="00BB166C" w:rsidP="000E01B8">
      <w:pPr>
        <w:pStyle w:val="ManualNumPar1"/>
        <w:spacing w:before="0" w:line="240" w:lineRule="auto"/>
        <w:jc w:val="both"/>
      </w:pPr>
      <w:r w:rsidRPr="000C342D">
        <w:t>(1)</w:t>
      </w:r>
      <w:r w:rsidRPr="000C342D">
        <w:tab/>
        <w:t xml:space="preserve">Un organisme d'évaluation de la conformité soumet une demande de notification </w:t>
      </w:r>
      <w:r w:rsidRPr="008E7156">
        <w:t>au titre de la présente</w:t>
      </w:r>
      <w:r>
        <w:t xml:space="preserve"> loi à l’Institut</w:t>
      </w:r>
      <w:r w:rsidRPr="000C342D">
        <w:t>.</w:t>
      </w:r>
    </w:p>
    <w:p w:rsidR="00BB166C" w:rsidRPr="000C342D" w:rsidRDefault="00BB166C" w:rsidP="000E01B8">
      <w:pPr>
        <w:pStyle w:val="ManualNumPar1"/>
        <w:spacing w:before="0" w:line="240" w:lineRule="auto"/>
        <w:jc w:val="both"/>
      </w:pPr>
      <w:r w:rsidRPr="000C342D">
        <w:t>(2)</w:t>
      </w:r>
      <w:r w:rsidRPr="000C342D">
        <w:tab/>
        <w:t>La demande visée au paragraphe 1 est accompagnée d'une description des activités d'évaluation de la conformité, du ou des modules d'évaluation de la conformité et du ou des jouets pour lesquels cet organisme s'estime compétent, ainsi que d'un certificat d'accréditation</w:t>
      </w:r>
      <w:r w:rsidRPr="000E179C">
        <w:t xml:space="preserve">, </w:t>
      </w:r>
      <w:r w:rsidRPr="000C342D">
        <w:t xml:space="preserve">délivré par </w:t>
      </w:r>
      <w:r>
        <w:t>un organisme national d’accréditation</w:t>
      </w:r>
      <w:r w:rsidRPr="000C342D">
        <w:t xml:space="preserve"> attestant que l'organisme d'évaluation de la conformité remplit les</w:t>
      </w:r>
      <w:r>
        <w:t xml:space="preserve"> exigences définies à l'article 24</w:t>
      </w:r>
      <w:r w:rsidRPr="000C342D">
        <w:t>.</w:t>
      </w:r>
    </w:p>
    <w:p w:rsidR="00BB166C" w:rsidRPr="00882975" w:rsidRDefault="00BB166C" w:rsidP="000E01B8">
      <w:pPr>
        <w:spacing w:before="0" w:line="240" w:lineRule="auto"/>
        <w:rPr>
          <w:b/>
        </w:rPr>
      </w:pPr>
      <w:r w:rsidRPr="00882975">
        <w:rPr>
          <w:b/>
        </w:rPr>
        <w:t xml:space="preserve">Art. 28. - </w:t>
      </w:r>
      <w:r w:rsidRPr="00882975">
        <w:rPr>
          <w:b/>
          <w:i/>
        </w:rPr>
        <w:t>Procédure de notification</w:t>
      </w:r>
    </w:p>
    <w:p w:rsidR="00BB166C" w:rsidRPr="00882975" w:rsidRDefault="00BB166C" w:rsidP="000E01B8">
      <w:pPr>
        <w:pStyle w:val="ManualNumPar1"/>
        <w:spacing w:before="0" w:line="240" w:lineRule="auto"/>
        <w:jc w:val="both"/>
      </w:pPr>
      <w:r w:rsidRPr="00882975">
        <w:t>(1)</w:t>
      </w:r>
      <w:r w:rsidRPr="00882975">
        <w:tab/>
        <w:t xml:space="preserve">Le ministre ne peut notifier que les organismes d'évaluation de la conformité qui </w:t>
      </w:r>
      <w:r>
        <w:t>satisfont</w:t>
      </w:r>
      <w:r w:rsidRPr="00882975">
        <w:t xml:space="preserve"> aux exigences définies à l'article 24 </w:t>
      </w:r>
      <w:r>
        <w:t>de la présente loi et à</w:t>
      </w:r>
      <w:r w:rsidRPr="00882975">
        <w:t xml:space="preserve"> l’article 9 de la loi du 20 mai 2008.</w:t>
      </w:r>
    </w:p>
    <w:p w:rsidR="00BB166C" w:rsidRPr="00882975" w:rsidRDefault="00BB166C" w:rsidP="000E01B8">
      <w:pPr>
        <w:pStyle w:val="ManualNumPar1"/>
        <w:spacing w:before="0" w:line="240" w:lineRule="auto"/>
        <w:jc w:val="both"/>
      </w:pPr>
      <w:r w:rsidRPr="00882975">
        <w:t>(2)</w:t>
      </w:r>
      <w:r w:rsidRPr="00882975">
        <w:tab/>
        <w:t xml:space="preserve">L’Institut notifie, au nom du ministre, les organismes d’évaluation de la conformité à la </w:t>
      </w:r>
      <w:r>
        <w:t xml:space="preserve">Commission européenne </w:t>
      </w:r>
      <w:r w:rsidRPr="00882975">
        <w:t>et aux autres États membres à l'aide de l'outil de notification électronique géré par la Commission</w:t>
      </w:r>
      <w:r>
        <w:t xml:space="preserve"> européenne</w:t>
      </w:r>
      <w:r w:rsidRPr="00882975">
        <w:t>.</w:t>
      </w:r>
    </w:p>
    <w:p w:rsidR="00BB166C" w:rsidRPr="00882975" w:rsidRDefault="00BB166C" w:rsidP="000E01B8">
      <w:pPr>
        <w:pStyle w:val="ManualNumPar1"/>
        <w:spacing w:before="0" w:line="240" w:lineRule="auto"/>
        <w:jc w:val="both"/>
      </w:pPr>
      <w:r w:rsidRPr="00882975">
        <w:t>(3)</w:t>
      </w:r>
      <w:r w:rsidRPr="00882975">
        <w:tab/>
        <w:t>La notification comprend des informations complètes sur les activités d'évaluation de la conformité, les modules d'évaluation de la conformité et les jouets concernés, ainsi que l'attestation de compétence correspondante.</w:t>
      </w:r>
    </w:p>
    <w:p w:rsidR="00BB166C" w:rsidRPr="00882975" w:rsidRDefault="00BB166C" w:rsidP="000E01B8">
      <w:pPr>
        <w:pStyle w:val="ManualNumPar1"/>
        <w:spacing w:before="0" w:line="240" w:lineRule="auto"/>
        <w:ind w:left="851" w:hanging="851"/>
        <w:jc w:val="both"/>
      </w:pPr>
      <w:r w:rsidRPr="00882975">
        <w:t>(</w:t>
      </w:r>
      <w:r>
        <w:t>4</w:t>
      </w:r>
      <w:r w:rsidRPr="00882975">
        <w:t>)</w:t>
      </w:r>
      <w:r w:rsidRPr="00882975">
        <w:tab/>
        <w:t xml:space="preserve">L'organisme </w:t>
      </w:r>
      <w:r>
        <w:t>d’évaluation de la conformité concerné</w:t>
      </w:r>
      <w:r w:rsidRPr="00882975">
        <w:t xml:space="preserve"> ne peut effectuer les activités propres à un organisme notifié que si aucune objection n'est émise par la </w:t>
      </w:r>
      <w:r>
        <w:t xml:space="preserve">Commission européenne </w:t>
      </w:r>
      <w:r w:rsidRPr="00882975">
        <w:t>ou les autres États membres dans les deux semaines qui suivent sa notification.</w:t>
      </w:r>
    </w:p>
    <w:p w:rsidR="00BB166C" w:rsidRPr="00882975" w:rsidRDefault="00BB166C" w:rsidP="000E01B8">
      <w:pPr>
        <w:pStyle w:val="Text1"/>
        <w:spacing w:before="0" w:line="240" w:lineRule="auto"/>
        <w:jc w:val="both"/>
      </w:pPr>
      <w:r w:rsidRPr="00882975">
        <w:t>Seul un tel organisme est considéré comme un organisme notifié aux fins de la présente loi.</w:t>
      </w:r>
    </w:p>
    <w:p w:rsidR="00BB166C" w:rsidRPr="00882975" w:rsidRDefault="00BB166C" w:rsidP="000E01B8">
      <w:pPr>
        <w:pStyle w:val="ManualNumPar1"/>
        <w:spacing w:before="0" w:after="240" w:line="240" w:lineRule="auto"/>
        <w:ind w:left="851" w:hanging="851"/>
        <w:jc w:val="both"/>
      </w:pPr>
      <w:r w:rsidRPr="00882975">
        <w:t>(</w:t>
      </w:r>
      <w:r>
        <w:t>5</w:t>
      </w:r>
      <w:r w:rsidRPr="00882975">
        <w:t>)</w:t>
      </w:r>
      <w:r w:rsidRPr="00882975">
        <w:tab/>
        <w:t xml:space="preserve">La </w:t>
      </w:r>
      <w:r>
        <w:t xml:space="preserve">Commission européenne </w:t>
      </w:r>
      <w:r w:rsidRPr="00882975">
        <w:t xml:space="preserve">et les autres États membres sont avertis </w:t>
      </w:r>
      <w:r>
        <w:t xml:space="preserve">par l’Institut </w:t>
      </w:r>
      <w:r w:rsidRPr="00882975">
        <w:t>de toute modification pertinente apportée ultérieurement à la notification.</w:t>
      </w:r>
    </w:p>
    <w:p w:rsidR="00BB166C" w:rsidRPr="00C83C6F" w:rsidRDefault="00BB166C" w:rsidP="000E01B8">
      <w:pPr>
        <w:spacing w:before="0" w:line="240" w:lineRule="auto"/>
        <w:rPr>
          <w:b/>
        </w:rPr>
      </w:pPr>
      <w:r w:rsidRPr="00C83C6F">
        <w:rPr>
          <w:b/>
        </w:rPr>
        <w:t>Art. 2</w:t>
      </w:r>
      <w:r>
        <w:rPr>
          <w:b/>
        </w:rPr>
        <w:t>9</w:t>
      </w:r>
      <w:r w:rsidRPr="00C83C6F">
        <w:rPr>
          <w:b/>
        </w:rPr>
        <w:t xml:space="preserve">. - </w:t>
      </w:r>
      <w:r w:rsidRPr="00C83C6F">
        <w:rPr>
          <w:b/>
          <w:i/>
        </w:rPr>
        <w:t>Modifications apportées aux notifications</w:t>
      </w:r>
    </w:p>
    <w:p w:rsidR="00BB166C" w:rsidRPr="000C342D" w:rsidRDefault="00BB166C" w:rsidP="000E01B8">
      <w:pPr>
        <w:pStyle w:val="ManualNumPar1"/>
        <w:spacing w:before="0" w:line="240" w:lineRule="auto"/>
        <w:jc w:val="both"/>
      </w:pPr>
      <w:r w:rsidRPr="000C342D">
        <w:t>(1)</w:t>
      </w:r>
      <w:r w:rsidRPr="000C342D">
        <w:tab/>
        <w:t>Lorsque l’</w:t>
      </w:r>
      <w:r>
        <w:t>Institut</w:t>
      </w:r>
      <w:r w:rsidRPr="000C342D">
        <w:t xml:space="preserve"> a établi ou a été informé qu'un organisme notifié ne répond plus aux e</w:t>
      </w:r>
      <w:r>
        <w:t>xigences définies à l'article 24</w:t>
      </w:r>
      <w:r w:rsidRPr="000C342D">
        <w:t>, ou qu'il ne s'acquitte pas de ses obligations, le min</w:t>
      </w:r>
      <w:r>
        <w:t>istre sur proposition de l’Institut</w:t>
      </w:r>
      <w:r w:rsidRPr="000C342D">
        <w:t xml:space="preserve"> soumet la notification à des restrictions, la suspend ou la retire, selon le cas, en fonction de la gravité du manquement </w:t>
      </w:r>
      <w:r w:rsidRPr="00402CEB">
        <w:t>au regard des exigences requises ou des obligations à satisfaire</w:t>
      </w:r>
      <w:r>
        <w:t>. L’Institut</w:t>
      </w:r>
      <w:r w:rsidRPr="000C342D">
        <w:t xml:space="preserve"> en informe immédiatement la </w:t>
      </w:r>
      <w:r>
        <w:t xml:space="preserve">Commission européenne </w:t>
      </w:r>
      <w:r w:rsidRPr="000C342D">
        <w:t>et les autres États membres.</w:t>
      </w:r>
    </w:p>
    <w:p w:rsidR="00BB166C" w:rsidRPr="00EC4998" w:rsidRDefault="00BB166C" w:rsidP="000E01B8">
      <w:pPr>
        <w:pStyle w:val="ManualNumPar1"/>
        <w:spacing w:before="0" w:after="240" w:line="240" w:lineRule="auto"/>
        <w:ind w:left="851" w:hanging="851"/>
        <w:jc w:val="both"/>
      </w:pPr>
      <w:r w:rsidRPr="000C342D">
        <w:t>(2)</w:t>
      </w:r>
      <w:r w:rsidRPr="000C342D">
        <w:tab/>
        <w:t>En cas de restriction, de suspension ou de retrait d'une notification, ou lorsque l'organisme notifié a ces</w:t>
      </w:r>
      <w:r>
        <w:t>sé ses activités, l’Institut</w:t>
      </w:r>
      <w:r w:rsidRPr="000C342D">
        <w:t xml:space="preserve"> prend les mesures appropriées pour que les dossiers </w:t>
      </w:r>
      <w:r w:rsidRPr="00EC4998">
        <w:t>de cet organisme notifié soient traités par un autre organisme.</w:t>
      </w:r>
    </w:p>
    <w:p w:rsidR="00BB166C" w:rsidRPr="00C6012C" w:rsidRDefault="00BB166C" w:rsidP="000E01B8">
      <w:pPr>
        <w:spacing w:before="0" w:line="240" w:lineRule="auto"/>
        <w:rPr>
          <w:b/>
        </w:rPr>
      </w:pPr>
      <w:r>
        <w:rPr>
          <w:b/>
        </w:rPr>
        <w:t>Art. 30</w:t>
      </w:r>
      <w:r w:rsidRPr="00C6012C">
        <w:rPr>
          <w:b/>
        </w:rPr>
        <w:t xml:space="preserve">. - </w:t>
      </w:r>
      <w:r w:rsidRPr="00C6012C">
        <w:rPr>
          <w:b/>
          <w:i/>
        </w:rPr>
        <w:t>Contestation de la compétence des organismes notifiés</w:t>
      </w:r>
    </w:p>
    <w:p w:rsidR="00BB166C" w:rsidRPr="000C342D" w:rsidRDefault="00BB166C" w:rsidP="000E01B8">
      <w:pPr>
        <w:pStyle w:val="ManualNumPar1"/>
        <w:spacing w:before="0" w:line="240" w:lineRule="auto"/>
        <w:jc w:val="both"/>
      </w:pPr>
      <w:r w:rsidRPr="000C342D" w:rsidDel="00774222">
        <w:t xml:space="preserve"> </w:t>
      </w:r>
      <w:r>
        <w:t>(1)</w:t>
      </w:r>
      <w:r>
        <w:tab/>
        <w:t>Sur demande de la Commission européenne, l'Institut</w:t>
      </w:r>
      <w:r w:rsidRPr="000C342D">
        <w:t xml:space="preserve"> </w:t>
      </w:r>
      <w:r>
        <w:t xml:space="preserve">lui </w:t>
      </w:r>
      <w:r w:rsidRPr="000C342D">
        <w:t>communique toutes les informations relatives</w:t>
      </w:r>
      <w:r>
        <w:t> </w:t>
      </w:r>
      <w:r w:rsidRPr="000C342D">
        <w:t xml:space="preserve">au fondement </w:t>
      </w:r>
      <w:r>
        <w:t>d’une</w:t>
      </w:r>
      <w:r w:rsidRPr="000C342D">
        <w:t xml:space="preserve"> notification ou au maintien de la compétence d’un organisme notifié pour lequel </w:t>
      </w:r>
      <w:r>
        <w:t>la Commission européenne</w:t>
      </w:r>
      <w:r w:rsidRPr="000C342D">
        <w:t xml:space="preserve"> émet des doutes ou est avertie de doutes quant à la compétence de l’organisme notifié ou au fait </w:t>
      </w:r>
      <w:r>
        <w:t>que l’organisme notifié</w:t>
      </w:r>
      <w:r w:rsidRPr="000C342D">
        <w:t xml:space="preserve"> continue à remplir les exigences qui lui sont applicables et à s'acquitter des responsabilités qui lui incombent.</w:t>
      </w:r>
    </w:p>
    <w:p w:rsidR="00BB166C" w:rsidRPr="000C342D" w:rsidRDefault="00BB166C" w:rsidP="000E01B8">
      <w:pPr>
        <w:pStyle w:val="ManualNumPar1"/>
        <w:spacing w:before="0" w:after="240" w:line="240" w:lineRule="auto"/>
        <w:ind w:left="851" w:hanging="851"/>
        <w:jc w:val="both"/>
      </w:pPr>
      <w:r>
        <w:t>(2</w:t>
      </w:r>
      <w:r w:rsidRPr="000C342D">
        <w:t>)</w:t>
      </w:r>
      <w:r w:rsidRPr="000C342D">
        <w:tab/>
        <w:t>Lorsque la Commission</w:t>
      </w:r>
      <w:r>
        <w:t xml:space="preserve"> européenne</w:t>
      </w:r>
      <w:r w:rsidRPr="000C342D">
        <w:t xml:space="preserve"> a établi qu'un organisme notifié ne répond pas ou plus aux exigences rela</w:t>
      </w:r>
      <w:r>
        <w:t>tives à la notification, le ministre sur avis de l’Institut</w:t>
      </w:r>
      <w:r w:rsidRPr="000C342D">
        <w:t xml:space="preserve"> prend les mesures correctives qui s'imposent, y compris la dénotification, si nécessaire.</w:t>
      </w:r>
    </w:p>
    <w:p w:rsidR="00BB166C" w:rsidRPr="00402D9B" w:rsidRDefault="00BB166C" w:rsidP="000E01B8">
      <w:pPr>
        <w:spacing w:before="0" w:line="240" w:lineRule="auto"/>
        <w:rPr>
          <w:b/>
        </w:rPr>
      </w:pPr>
      <w:r w:rsidRPr="00402D9B">
        <w:rPr>
          <w:b/>
        </w:rPr>
        <w:t>Art. 3</w:t>
      </w:r>
      <w:r>
        <w:rPr>
          <w:b/>
        </w:rPr>
        <w:t>1</w:t>
      </w:r>
      <w:r w:rsidRPr="00402D9B">
        <w:rPr>
          <w:b/>
        </w:rPr>
        <w:t xml:space="preserve">. - </w:t>
      </w:r>
      <w:r w:rsidRPr="00402D9B">
        <w:rPr>
          <w:b/>
          <w:i/>
        </w:rPr>
        <w:t>Obligations opérationnelles des organismes notifiés</w:t>
      </w:r>
    </w:p>
    <w:p w:rsidR="00BB166C" w:rsidRPr="000C342D" w:rsidRDefault="00BB166C" w:rsidP="000E01B8">
      <w:pPr>
        <w:pStyle w:val="ManualNumPar1"/>
        <w:spacing w:before="0" w:line="240" w:lineRule="auto"/>
        <w:jc w:val="both"/>
      </w:pPr>
      <w:r w:rsidRPr="000C342D">
        <w:t>(1)</w:t>
      </w:r>
      <w:r w:rsidRPr="000C342D">
        <w:tab/>
        <w:t xml:space="preserve">Les organismes notifiés réalisent les évaluations de la conformité dans le respect de la procédure d'évaluation de la </w:t>
      </w:r>
      <w:r>
        <w:t>conformité prévue à l'article 19</w:t>
      </w:r>
      <w:r w:rsidRPr="000C342D">
        <w:t>.</w:t>
      </w:r>
    </w:p>
    <w:p w:rsidR="00BB166C" w:rsidRPr="000C342D" w:rsidRDefault="00BB166C" w:rsidP="000E01B8">
      <w:pPr>
        <w:pStyle w:val="ManualNumPar1"/>
        <w:spacing w:before="0" w:line="240" w:lineRule="auto"/>
        <w:jc w:val="both"/>
      </w:pPr>
      <w:r w:rsidRPr="000C342D">
        <w:t>(2)</w:t>
      </w:r>
      <w:r w:rsidRPr="000C342D">
        <w:tab/>
        <w:t>Les évaluations de la conformité sont effectuées de manière proportionnée, en évitant d'imposer des charges inutiles aux opérateurs économiques. Les organismes d'évaluation de la conformité exercent leurs activités en tenant dûment compte de la taille de l'entreprise, du secteur dans lequel elle opère, de sa structure, du degré de complexité de la technologie du jouet en question et du caractère en masse ou de série du processus de production.</w:t>
      </w:r>
    </w:p>
    <w:p w:rsidR="00BB166C" w:rsidRPr="000C342D" w:rsidRDefault="00BB166C" w:rsidP="000E01B8">
      <w:pPr>
        <w:pStyle w:val="Text1"/>
        <w:spacing w:before="0" w:line="240" w:lineRule="auto"/>
        <w:jc w:val="both"/>
      </w:pPr>
      <w:r w:rsidRPr="000C342D">
        <w:t>Ce faisant, ils observent, néanmoins, le degré de rigueur et le niveau de protection requis pour la conformité du jouet avec la présente directive.</w:t>
      </w:r>
    </w:p>
    <w:p w:rsidR="00BB166C" w:rsidRPr="000C342D" w:rsidRDefault="00BB166C" w:rsidP="000E01B8">
      <w:pPr>
        <w:pStyle w:val="ManualNumPar1"/>
        <w:spacing w:before="0" w:line="240" w:lineRule="auto"/>
        <w:jc w:val="both"/>
      </w:pPr>
      <w:r w:rsidRPr="000C342D">
        <w:t>(3)</w:t>
      </w:r>
      <w:r w:rsidRPr="000C342D">
        <w:tab/>
        <w:t>Lorsqu'un organisme notifié estime que les exigences visées à l'article 10 et à l'annexe II ou que dans les normes harmonisées ou les spécifications techniques correspondantes n'ont pas été respectées par un fabricant, il exige de ce dernier de prendre les mesures correctives appropriées et ne délivre pas le certificat d'exame</w:t>
      </w:r>
      <w:r>
        <w:t>n CE de type visé à l'article 19</w:t>
      </w:r>
      <w:r w:rsidRPr="000C342D">
        <w:t>, paragraphe 4.</w:t>
      </w:r>
    </w:p>
    <w:p w:rsidR="00BB166C" w:rsidRPr="000C342D" w:rsidRDefault="00BB166C" w:rsidP="000E01B8">
      <w:pPr>
        <w:pStyle w:val="ManualNumPar1"/>
        <w:spacing w:before="0" w:line="240" w:lineRule="auto"/>
        <w:jc w:val="both"/>
      </w:pPr>
      <w:r w:rsidRPr="000C342D">
        <w:t>(4)</w:t>
      </w:r>
      <w:r w:rsidRPr="000C342D">
        <w:tab/>
        <w:t>Lorsque, au cours du contrôle de la conformité qui suit la délivrance d'un certificat de l'examen CE de type, un organisme notifié constate qu'un jouet n'est plus conforme, il invite le fabricant à prendre les mesures correctives appropriées et suspend ou retire le certificat de l'examen CE de type, si nécessaire.</w:t>
      </w:r>
    </w:p>
    <w:p w:rsidR="00BB166C" w:rsidRPr="000C342D" w:rsidRDefault="00BB166C" w:rsidP="000E01B8">
      <w:pPr>
        <w:pStyle w:val="ManualNumPar1"/>
        <w:spacing w:before="0" w:after="240" w:line="240" w:lineRule="auto"/>
        <w:ind w:left="851" w:hanging="851"/>
        <w:jc w:val="both"/>
      </w:pPr>
      <w:r w:rsidRPr="000C342D">
        <w:t>(5)</w:t>
      </w:r>
      <w:r w:rsidRPr="000C342D">
        <w:tab/>
        <w:t xml:space="preserve">Lorsque les mesures correctives ne sont pas adoptées ou n'ont pas l'effet requis, l'organisme notifié soumet </w:t>
      </w:r>
      <w:r w:rsidRPr="005746B7">
        <w:t>l’attestation</w:t>
      </w:r>
      <w:r w:rsidRPr="000C342D">
        <w:t xml:space="preserve"> à des restrictions, l</w:t>
      </w:r>
      <w:r>
        <w:t>a</w:t>
      </w:r>
      <w:r w:rsidRPr="000C342D">
        <w:t xml:space="preserve"> suspend ou l</w:t>
      </w:r>
      <w:r>
        <w:t>a</w:t>
      </w:r>
      <w:r w:rsidRPr="000C342D">
        <w:t xml:space="preserve"> retire, selon le cas.</w:t>
      </w:r>
    </w:p>
    <w:p w:rsidR="00BB166C" w:rsidRPr="00CE136F" w:rsidRDefault="00BB166C" w:rsidP="000E01B8">
      <w:pPr>
        <w:spacing w:before="0" w:line="240" w:lineRule="auto"/>
        <w:rPr>
          <w:b/>
        </w:rPr>
      </w:pPr>
      <w:r w:rsidRPr="00CE136F">
        <w:rPr>
          <w:b/>
        </w:rPr>
        <w:t>Art. 3</w:t>
      </w:r>
      <w:r>
        <w:rPr>
          <w:b/>
        </w:rPr>
        <w:t>2</w:t>
      </w:r>
      <w:r w:rsidRPr="00CE136F">
        <w:rPr>
          <w:b/>
        </w:rPr>
        <w:t xml:space="preserve"> - </w:t>
      </w:r>
      <w:r w:rsidRPr="00CE136F">
        <w:rPr>
          <w:b/>
          <w:i/>
        </w:rPr>
        <w:t>Obligation d'information des organismes notifiés</w:t>
      </w:r>
    </w:p>
    <w:p w:rsidR="00BB166C" w:rsidRPr="000C342D" w:rsidRDefault="00BB166C" w:rsidP="000E01B8">
      <w:pPr>
        <w:pStyle w:val="ManualNumPar1"/>
        <w:spacing w:before="0" w:line="240" w:lineRule="auto"/>
        <w:jc w:val="both"/>
      </w:pPr>
      <w:r w:rsidRPr="000C342D">
        <w:t>(1)</w:t>
      </w:r>
      <w:r w:rsidRPr="000C342D">
        <w:tab/>
        <w:t>Les organismes</w:t>
      </w:r>
      <w:r>
        <w:t xml:space="preserve"> notifiés communiquent à l’Institut :</w:t>
      </w:r>
    </w:p>
    <w:p w:rsidR="00BB166C" w:rsidRPr="000C342D" w:rsidRDefault="00BB166C" w:rsidP="000E01B8">
      <w:pPr>
        <w:pStyle w:val="Point1"/>
        <w:spacing w:before="0" w:line="240" w:lineRule="auto"/>
        <w:jc w:val="both"/>
      </w:pPr>
      <w:r w:rsidRPr="000C342D">
        <w:t>a)</w:t>
      </w:r>
      <w:r w:rsidRPr="000C342D">
        <w:tab/>
        <w:t xml:space="preserve">tout refus, restriction, suspension ou retrait </w:t>
      </w:r>
      <w:r w:rsidRPr="005746B7">
        <w:t>d’une attestation</w:t>
      </w:r>
      <w:r w:rsidRPr="000C342D">
        <w:t xml:space="preserve"> de l'examen CE de type ;</w:t>
      </w:r>
    </w:p>
    <w:p w:rsidR="00BB166C" w:rsidRPr="000C342D" w:rsidRDefault="00BB166C" w:rsidP="000E01B8">
      <w:pPr>
        <w:pStyle w:val="Point1"/>
        <w:spacing w:before="0" w:line="240" w:lineRule="auto"/>
        <w:jc w:val="both"/>
      </w:pPr>
      <w:r w:rsidRPr="000C342D">
        <w:t>b)</w:t>
      </w:r>
      <w:r w:rsidRPr="000C342D">
        <w:tab/>
        <w:t>toute circonstance ayant une incidence sur la portée et les conditions de la notification ;</w:t>
      </w:r>
    </w:p>
    <w:p w:rsidR="00BB166C" w:rsidRPr="000C342D" w:rsidRDefault="00BB166C" w:rsidP="000E01B8">
      <w:pPr>
        <w:pStyle w:val="Point1"/>
        <w:spacing w:before="0" w:line="240" w:lineRule="auto"/>
        <w:jc w:val="both"/>
      </w:pPr>
      <w:r>
        <w:t>c</w:t>
      </w:r>
      <w:r w:rsidRPr="000C342D">
        <w:t>)</w:t>
      </w:r>
      <w:r w:rsidRPr="000C342D">
        <w:tab/>
        <w:t>sur demande, les activités d'évaluation de la conformité réalisées dans le cadre de leur notification et toute autre activité, y compris les activités et sous-traitances transfrontalières.</w:t>
      </w:r>
    </w:p>
    <w:p w:rsidR="00BB166C" w:rsidRPr="000C342D" w:rsidRDefault="00BB166C" w:rsidP="000E01B8">
      <w:pPr>
        <w:pStyle w:val="ManualNumPar1"/>
        <w:spacing w:before="0" w:after="240" w:line="240" w:lineRule="auto"/>
        <w:ind w:left="851" w:hanging="851"/>
        <w:jc w:val="both"/>
      </w:pPr>
      <w:r w:rsidRPr="000C342D">
        <w:t>(2)</w:t>
      </w:r>
      <w:r w:rsidRPr="000C342D">
        <w:tab/>
        <w:t>Les organismes notifiés fournissent aux autres organismes notifiés en vertu de la présente loi qui effectuent des activités similaires d'évaluation de la conformité couvrant les mêmes jouets les informations pertinentes sur les questions relatives aux résultats négatifs et, sur demande, aux résultats positifs, de l'évaluation de la conformité.</w:t>
      </w:r>
    </w:p>
    <w:p w:rsidR="00BB166C" w:rsidRPr="00CE136F" w:rsidRDefault="00BB166C" w:rsidP="000E01B8">
      <w:pPr>
        <w:spacing w:before="0" w:line="240" w:lineRule="auto"/>
        <w:rPr>
          <w:b/>
        </w:rPr>
      </w:pPr>
      <w:r w:rsidRPr="00CE136F">
        <w:rPr>
          <w:b/>
        </w:rPr>
        <w:t>Art. 3</w:t>
      </w:r>
      <w:r>
        <w:rPr>
          <w:b/>
        </w:rPr>
        <w:t>3</w:t>
      </w:r>
      <w:r w:rsidRPr="00CE136F">
        <w:rPr>
          <w:b/>
        </w:rPr>
        <w:t xml:space="preserve">. - </w:t>
      </w:r>
      <w:r w:rsidRPr="00CE136F">
        <w:rPr>
          <w:b/>
          <w:i/>
        </w:rPr>
        <w:t>Partage d'expérience</w:t>
      </w:r>
    </w:p>
    <w:p w:rsidR="00BB166C" w:rsidRPr="00CE136F" w:rsidRDefault="00BB166C" w:rsidP="000E01B8">
      <w:pPr>
        <w:spacing w:before="0" w:after="240" w:line="240" w:lineRule="auto"/>
        <w:jc w:val="both"/>
      </w:pPr>
      <w:r>
        <w:t>L’Institut</w:t>
      </w:r>
      <w:r w:rsidRPr="00CE136F">
        <w:t xml:space="preserve"> partage </w:t>
      </w:r>
      <w:r>
        <w:t xml:space="preserve">son </w:t>
      </w:r>
      <w:r w:rsidRPr="00CE136F">
        <w:t xml:space="preserve">expérience </w:t>
      </w:r>
      <w:r>
        <w:t>avec</w:t>
      </w:r>
      <w:r w:rsidRPr="00CE136F">
        <w:t xml:space="preserve"> les autorités nationales des États membres responsables de la politique de notification.</w:t>
      </w:r>
    </w:p>
    <w:p w:rsidR="00BB166C" w:rsidRPr="00553F2F" w:rsidRDefault="00BB166C" w:rsidP="000E01B8">
      <w:pPr>
        <w:spacing w:before="0" w:line="240" w:lineRule="auto"/>
        <w:rPr>
          <w:b/>
        </w:rPr>
      </w:pPr>
      <w:r w:rsidRPr="00553F2F">
        <w:rPr>
          <w:b/>
        </w:rPr>
        <w:t>Art. 3</w:t>
      </w:r>
      <w:r>
        <w:rPr>
          <w:b/>
        </w:rPr>
        <w:t>4</w:t>
      </w:r>
      <w:r w:rsidRPr="00553F2F">
        <w:rPr>
          <w:b/>
        </w:rPr>
        <w:t xml:space="preserve">. - </w:t>
      </w:r>
      <w:r w:rsidRPr="00553F2F">
        <w:rPr>
          <w:b/>
          <w:i/>
        </w:rPr>
        <w:t>Coordination des organismes notifiés</w:t>
      </w:r>
    </w:p>
    <w:p w:rsidR="00BB166C" w:rsidRPr="000C342D" w:rsidRDefault="00BB166C" w:rsidP="000E01B8">
      <w:pPr>
        <w:spacing w:before="0" w:after="360" w:line="240" w:lineRule="auto"/>
        <w:jc w:val="both"/>
      </w:pPr>
      <w:r w:rsidRPr="000C342D">
        <w:t>Dans le cadre de la présente loi, les organismes notifiés doivent participer directement ou par l'intermédiaire de mandataires, aux travaux de coordination et de coopération réalisés par les groupes sectoriels d’organismes notifiés mis en place par la Commission européenne.</w:t>
      </w:r>
    </w:p>
    <w:p w:rsidR="00BB166C" w:rsidRPr="00C14EE8" w:rsidRDefault="00BB166C" w:rsidP="000E01B8">
      <w:pPr>
        <w:pStyle w:val="ChapterTitle"/>
        <w:spacing w:before="0" w:after="240" w:line="240" w:lineRule="auto"/>
      </w:pPr>
      <w:r w:rsidRPr="00C14EE8">
        <w:rPr>
          <w:sz w:val="24"/>
        </w:rPr>
        <w:t>Chapitre 6. - Obligations et pouvoirs de l’Institut</w:t>
      </w:r>
    </w:p>
    <w:p w:rsidR="00BB166C" w:rsidRPr="00E50F7B" w:rsidRDefault="00BB166C" w:rsidP="000E01B8">
      <w:pPr>
        <w:spacing w:before="0" w:line="240" w:lineRule="auto"/>
        <w:rPr>
          <w:b/>
        </w:rPr>
      </w:pPr>
      <w:r w:rsidRPr="00E50F7B">
        <w:rPr>
          <w:b/>
        </w:rPr>
        <w:t>Art. 3</w:t>
      </w:r>
      <w:r>
        <w:rPr>
          <w:b/>
        </w:rPr>
        <w:t>5</w:t>
      </w:r>
      <w:r w:rsidRPr="00E50F7B">
        <w:rPr>
          <w:b/>
        </w:rPr>
        <w:t xml:space="preserve">. - </w:t>
      </w:r>
      <w:r w:rsidRPr="00E50F7B">
        <w:rPr>
          <w:b/>
          <w:i/>
        </w:rPr>
        <w:t>Principe de précaution</w:t>
      </w:r>
    </w:p>
    <w:p w:rsidR="00BB166C" w:rsidRPr="00E50F7B" w:rsidRDefault="00BB166C" w:rsidP="000E01B8">
      <w:pPr>
        <w:spacing w:before="0" w:after="240" w:line="240" w:lineRule="auto"/>
        <w:jc w:val="both"/>
      </w:pPr>
      <w:r w:rsidRPr="000C342D">
        <w:t xml:space="preserve">Lorsque </w:t>
      </w:r>
      <w:r>
        <w:t>l’Institut prend</w:t>
      </w:r>
      <w:r w:rsidRPr="000C342D">
        <w:t xml:space="preserve"> des mesures prévues dans la présente </w:t>
      </w:r>
      <w:r>
        <w:t>loi</w:t>
      </w:r>
      <w:r w:rsidRPr="000C342D">
        <w:t xml:space="preserve">, notamment celles visées à </w:t>
      </w:r>
      <w:r w:rsidRPr="00E50F7B">
        <w:t>l'article 3</w:t>
      </w:r>
      <w:r>
        <w:t>6</w:t>
      </w:r>
      <w:r w:rsidRPr="00E50F7B">
        <w:t>, il tient dûment compte du principe de précaution.</w:t>
      </w:r>
    </w:p>
    <w:p w:rsidR="00BB166C" w:rsidRPr="00F774D2" w:rsidRDefault="00BB166C" w:rsidP="000E01B8">
      <w:pPr>
        <w:spacing w:before="0" w:line="240" w:lineRule="auto"/>
        <w:rPr>
          <w:b/>
        </w:rPr>
      </w:pPr>
      <w:r w:rsidRPr="00F774D2">
        <w:rPr>
          <w:b/>
        </w:rPr>
        <w:t>Art. 3</w:t>
      </w:r>
      <w:r>
        <w:rPr>
          <w:b/>
        </w:rPr>
        <w:t>6</w:t>
      </w:r>
      <w:r w:rsidRPr="00F774D2">
        <w:rPr>
          <w:b/>
        </w:rPr>
        <w:t xml:space="preserve">. - </w:t>
      </w:r>
      <w:r>
        <w:rPr>
          <w:b/>
          <w:i/>
        </w:rPr>
        <w:t xml:space="preserve">Organisation de </w:t>
      </w:r>
      <w:r w:rsidRPr="00F774D2">
        <w:rPr>
          <w:b/>
          <w:i/>
        </w:rPr>
        <w:t xml:space="preserve"> la surveillance du marché</w:t>
      </w:r>
    </w:p>
    <w:p w:rsidR="00BB166C" w:rsidRPr="00EC4998" w:rsidRDefault="00BB166C" w:rsidP="000E01B8">
      <w:pPr>
        <w:spacing w:before="0" w:after="240" w:line="240" w:lineRule="auto"/>
        <w:jc w:val="both"/>
      </w:pPr>
      <w:r w:rsidRPr="00EC4998">
        <w:t xml:space="preserve">L’Institut organise et assure la surveillance des jouets mis sur le marché, conformément aux articles 10 et 14 à 19 de la loi du 20 mai 2008 ainsi qu’aux articles </w:t>
      </w:r>
      <w:r w:rsidRPr="001E1B12">
        <w:t>15 à 29 du règlement CE n° 765/2008.</w:t>
      </w:r>
      <w:r w:rsidRPr="00EC4998">
        <w:t xml:space="preserve"> Outre lesdits articles, l'article 3</w:t>
      </w:r>
      <w:r>
        <w:t>7</w:t>
      </w:r>
      <w:r w:rsidRPr="00EC4998">
        <w:t xml:space="preserve"> de la présente loi s'applique.</w:t>
      </w:r>
    </w:p>
    <w:p w:rsidR="00BB166C" w:rsidRPr="00A15C07" w:rsidRDefault="00BB166C" w:rsidP="000E01B8">
      <w:pPr>
        <w:spacing w:before="0" w:line="240" w:lineRule="auto"/>
        <w:rPr>
          <w:b/>
        </w:rPr>
      </w:pPr>
      <w:r w:rsidRPr="00A15C07">
        <w:rPr>
          <w:b/>
        </w:rPr>
        <w:t>Art. 3</w:t>
      </w:r>
      <w:r>
        <w:rPr>
          <w:b/>
        </w:rPr>
        <w:t>7</w:t>
      </w:r>
      <w:r w:rsidRPr="00A15C07">
        <w:rPr>
          <w:b/>
        </w:rPr>
        <w:t xml:space="preserve">. - </w:t>
      </w:r>
      <w:r w:rsidRPr="00A15C07">
        <w:rPr>
          <w:b/>
          <w:i/>
        </w:rPr>
        <w:t>Instructions à l'organisme notifié</w:t>
      </w:r>
    </w:p>
    <w:p w:rsidR="00BB166C" w:rsidRPr="000C342D" w:rsidRDefault="00BB166C" w:rsidP="000E01B8">
      <w:pPr>
        <w:pStyle w:val="ManualNumPar1"/>
        <w:spacing w:before="0" w:line="240" w:lineRule="auto"/>
        <w:jc w:val="both"/>
      </w:pPr>
      <w:r w:rsidRPr="000C342D">
        <w:t>(1)</w:t>
      </w:r>
      <w:r w:rsidRPr="000C342D">
        <w:tab/>
        <w:t>L’Institut peut demander à un organisme notifié de fournir des informations concernant toute attestation d'examen CE de type qu'il a délivrée ou retirée, ou concernant tout refus de délivrer une telle attestation, y compris les rapports d'essais et la documentation technique.</w:t>
      </w:r>
    </w:p>
    <w:p w:rsidR="00BB166C" w:rsidRPr="000C342D" w:rsidRDefault="00BB166C" w:rsidP="000E01B8">
      <w:pPr>
        <w:pStyle w:val="ManualNumPar1"/>
        <w:spacing w:before="0" w:line="240" w:lineRule="auto"/>
        <w:jc w:val="both"/>
      </w:pPr>
      <w:r w:rsidRPr="000C342D">
        <w:t>(2)</w:t>
      </w:r>
      <w:r w:rsidRPr="000C342D">
        <w:tab/>
      </w:r>
      <w:r w:rsidRPr="00C71B75">
        <w:t>Lorsque l’</w:t>
      </w:r>
      <w:r w:rsidRPr="000C342D">
        <w:t xml:space="preserve">Institut constate qu'un jouet n'est pas conforme aux exigences définies à l'article </w:t>
      </w:r>
      <w:r w:rsidRPr="00A15C07">
        <w:t xml:space="preserve">10 </w:t>
      </w:r>
      <w:r w:rsidRPr="000C342D">
        <w:t xml:space="preserve">et à </w:t>
      </w:r>
      <w:r w:rsidRPr="00A15C07">
        <w:t xml:space="preserve">l'annexe II, </w:t>
      </w:r>
      <w:r>
        <w:t>il</w:t>
      </w:r>
      <w:r w:rsidRPr="000C342D">
        <w:t xml:space="preserve"> demande à l'organisme notifié, le cas échéant, de retirer l'attestation </w:t>
      </w:r>
      <w:r w:rsidRPr="00C71B75">
        <w:t>d’examen</w:t>
      </w:r>
      <w:r>
        <w:t xml:space="preserve"> </w:t>
      </w:r>
      <w:r w:rsidRPr="000C342D">
        <w:t>CE de type concernant le jouet en question.</w:t>
      </w:r>
    </w:p>
    <w:p w:rsidR="00BB166C" w:rsidRPr="00A15C07" w:rsidRDefault="00BB166C" w:rsidP="000E01B8">
      <w:pPr>
        <w:pStyle w:val="ManualNumPar1"/>
        <w:spacing w:before="0" w:after="240" w:line="240" w:lineRule="auto"/>
        <w:ind w:left="851" w:hanging="851"/>
        <w:jc w:val="both"/>
      </w:pPr>
      <w:r w:rsidRPr="00A15C07">
        <w:t>(3)</w:t>
      </w:r>
      <w:r w:rsidRPr="00A15C07">
        <w:tab/>
        <w:t xml:space="preserve">Le cas échéant, et notamment dans les cas spécifiés à l'article 19, paragraphe 4, deuxième alinéa, l’Institut demande à l'organisme notifié de revoir l'attestation </w:t>
      </w:r>
      <w:r w:rsidRPr="00C71B75">
        <w:t>d’examen</w:t>
      </w:r>
      <w:r>
        <w:t xml:space="preserve"> </w:t>
      </w:r>
      <w:r w:rsidRPr="00A15C07">
        <w:t>CE de type.</w:t>
      </w:r>
    </w:p>
    <w:p w:rsidR="00BB166C" w:rsidRPr="007C4A58" w:rsidRDefault="00BB166C" w:rsidP="000E01B8">
      <w:pPr>
        <w:spacing w:before="0" w:line="240" w:lineRule="auto"/>
        <w:rPr>
          <w:b/>
        </w:rPr>
      </w:pPr>
      <w:r w:rsidRPr="007C4A58">
        <w:rPr>
          <w:b/>
        </w:rPr>
        <w:t>Art. 3</w:t>
      </w:r>
      <w:r>
        <w:rPr>
          <w:b/>
        </w:rPr>
        <w:t>8</w:t>
      </w:r>
      <w:r w:rsidRPr="007C4A58">
        <w:rPr>
          <w:b/>
        </w:rPr>
        <w:t xml:space="preserve">. - </w:t>
      </w:r>
      <w:r w:rsidRPr="007C4A58">
        <w:rPr>
          <w:b/>
          <w:i/>
        </w:rPr>
        <w:t>Procédure applicable aux jouets qui présentent un risque au niveau national</w:t>
      </w:r>
    </w:p>
    <w:p w:rsidR="00BB166C" w:rsidRPr="00AF13E0" w:rsidRDefault="00BB166C" w:rsidP="000E01B8">
      <w:pPr>
        <w:pStyle w:val="ManualNumPar1"/>
        <w:spacing w:before="0" w:line="240" w:lineRule="auto"/>
        <w:jc w:val="both"/>
      </w:pPr>
      <w:r>
        <w:t>(1)</w:t>
      </w:r>
      <w:r>
        <w:tab/>
      </w:r>
      <w:r w:rsidRPr="00AF13E0">
        <w:t>Lorsque l’Institut a pris des mesures conformément à l'article 17 de la loi du 20 mai 2008 et de l’article 20 du règlement (CE) n° 765/2008 ou qu'il a des raisons suffisantes de croire qu'un jouet couvert par la présente loi présente un risque pour la santé ou la sécurité des personnes, il effectue une évaluation du jouet en question en tenant compte de toutes les exigences définies par la présente loi. Les opérateurs économiques concernés coopèrent, au besoin, avec l’Institut.</w:t>
      </w:r>
    </w:p>
    <w:p w:rsidR="00BB166C" w:rsidRPr="000C342D" w:rsidRDefault="00BB166C" w:rsidP="000E01B8">
      <w:pPr>
        <w:pStyle w:val="Text1"/>
        <w:spacing w:before="0" w:line="240" w:lineRule="auto"/>
        <w:ind w:left="900"/>
        <w:jc w:val="both"/>
      </w:pPr>
      <w:r w:rsidRPr="000C342D">
        <w:t>Si, au cours de cette évaluation, l’Institut constate que le jouet ne respecte pas les exigences définies par la présente loi, il invite immédiatement l'opérateur économique concerné à prendre des mesures correctives appropriées pour mettre le jouet en conformité avec ces exigences, le retirer du marché ou le rappeler dans un délai raisonnable, proportionné à la nature du risque, qu'</w:t>
      </w:r>
      <w:r>
        <w:t>il</w:t>
      </w:r>
      <w:r w:rsidRPr="000C342D">
        <w:t xml:space="preserve"> peu</w:t>
      </w:r>
      <w:r>
        <w:t>t</w:t>
      </w:r>
      <w:r w:rsidRPr="000C342D">
        <w:t xml:space="preserve"> prescrire.</w:t>
      </w:r>
    </w:p>
    <w:p w:rsidR="00BB166C" w:rsidRPr="000C342D" w:rsidRDefault="00BB166C" w:rsidP="000E01B8">
      <w:pPr>
        <w:pStyle w:val="Text1"/>
        <w:spacing w:before="0" w:line="240" w:lineRule="auto"/>
        <w:ind w:left="900"/>
        <w:jc w:val="both"/>
      </w:pPr>
      <w:r w:rsidRPr="000C342D">
        <w:t>L’Institut informe en conséquence l'organisme notifié concerné.</w:t>
      </w:r>
    </w:p>
    <w:p w:rsidR="00BB166C" w:rsidRPr="000C342D" w:rsidRDefault="00BB166C" w:rsidP="000E01B8">
      <w:pPr>
        <w:pStyle w:val="Text1"/>
        <w:spacing w:before="0" w:line="240" w:lineRule="auto"/>
        <w:ind w:left="900"/>
        <w:jc w:val="both"/>
      </w:pPr>
      <w:r w:rsidRPr="00A23369">
        <w:t>L'article 21 du règlement (CE) n</w:t>
      </w:r>
      <w:r w:rsidRPr="00A23369">
        <w:rPr>
          <w:vertAlign w:val="superscript"/>
        </w:rPr>
        <w:t>o </w:t>
      </w:r>
      <w:r w:rsidRPr="00A23369">
        <w:t>765/2008 s'applique aux mesures visées au deuxième</w:t>
      </w:r>
      <w:r w:rsidRPr="000C342D">
        <w:t xml:space="preserve"> alinéa du présent paragraphe.</w:t>
      </w:r>
    </w:p>
    <w:p w:rsidR="00BB166C" w:rsidRPr="000C342D" w:rsidRDefault="00BB166C" w:rsidP="000E01B8">
      <w:pPr>
        <w:pStyle w:val="ManualNumPar1"/>
        <w:spacing w:before="0" w:line="240" w:lineRule="auto"/>
        <w:jc w:val="both"/>
      </w:pPr>
      <w:r w:rsidRPr="000C342D">
        <w:t>(2)</w:t>
      </w:r>
      <w:r w:rsidRPr="000C342D">
        <w:tab/>
        <w:t xml:space="preserve">Lorsque </w:t>
      </w:r>
      <w:r>
        <w:t>l’Institut considère</w:t>
      </w:r>
      <w:r w:rsidRPr="000C342D">
        <w:t xml:space="preserve"> que le non-respect n'est pas limité à </w:t>
      </w:r>
      <w:r>
        <w:t>son</w:t>
      </w:r>
      <w:r w:rsidRPr="000C342D">
        <w:t xml:space="preserve"> territoire national, </w:t>
      </w:r>
      <w:r>
        <w:t>il informe</w:t>
      </w:r>
      <w:r w:rsidRPr="000C342D">
        <w:t xml:space="preserve"> la </w:t>
      </w:r>
      <w:r>
        <w:t xml:space="preserve">Commission européenne </w:t>
      </w:r>
      <w:r w:rsidRPr="000C342D">
        <w:t xml:space="preserve">et les autres États membres des résultats de l'évaluation et des mesures </w:t>
      </w:r>
      <w:r>
        <w:t>qu’il a</w:t>
      </w:r>
      <w:r w:rsidRPr="000C342D">
        <w:t xml:space="preserve"> prescrites à l'opérateur économique concerné.</w:t>
      </w:r>
    </w:p>
    <w:p w:rsidR="00BB166C" w:rsidRPr="000C342D" w:rsidRDefault="00BB166C" w:rsidP="000E01B8">
      <w:pPr>
        <w:pStyle w:val="ManualNumPar1"/>
        <w:spacing w:before="0" w:line="240" w:lineRule="auto"/>
        <w:jc w:val="both"/>
      </w:pPr>
      <w:r w:rsidRPr="000C342D">
        <w:t>(3)</w:t>
      </w:r>
      <w:r w:rsidRPr="000C342D">
        <w:tab/>
        <w:t>L'opérateur économique concerné s'assure que les mesures correctives appropriées sont prises vis-à-vis des jouets que cet opérateur a mis à disposition sur le marché communautaire.</w:t>
      </w:r>
    </w:p>
    <w:p w:rsidR="00BB166C" w:rsidRPr="000C342D" w:rsidRDefault="00BB166C" w:rsidP="000E01B8">
      <w:pPr>
        <w:pStyle w:val="ManualNumPar1"/>
        <w:spacing w:before="0" w:line="240" w:lineRule="auto"/>
        <w:jc w:val="both"/>
      </w:pPr>
      <w:r w:rsidRPr="000C342D">
        <w:t>(4)</w:t>
      </w:r>
      <w:r w:rsidRPr="000C342D">
        <w:tab/>
        <w:t xml:space="preserve">Lorsque l'opérateur économique concerné ne prend pas des mesures correctives adéquates dans le délai visé au paragraphe 1, </w:t>
      </w:r>
      <w:r>
        <w:t>l’Institut adopte</w:t>
      </w:r>
      <w:r w:rsidRPr="000C342D">
        <w:t xml:space="preserve"> toutes les mesures provisoires appropriées pour interdire ou restreindre la mise à disposition du jouet sur leur marché national, pour le retirer de ce marché ou pour le rappeler.</w:t>
      </w:r>
    </w:p>
    <w:p w:rsidR="00BB166C" w:rsidRPr="000C342D" w:rsidRDefault="00BB166C" w:rsidP="000E01B8">
      <w:pPr>
        <w:pStyle w:val="Text1"/>
        <w:spacing w:before="0" w:line="240" w:lineRule="auto"/>
        <w:jc w:val="both"/>
      </w:pPr>
      <w:r>
        <w:t>L’Institut en informe</w:t>
      </w:r>
      <w:r w:rsidRPr="000C342D">
        <w:t xml:space="preserve"> immédiatement la </w:t>
      </w:r>
      <w:r>
        <w:t xml:space="preserve">Commission européenne </w:t>
      </w:r>
      <w:r w:rsidRPr="000C342D">
        <w:t>et les autres États membres.</w:t>
      </w:r>
    </w:p>
    <w:p w:rsidR="00BB166C" w:rsidRPr="000C342D" w:rsidRDefault="00BB166C" w:rsidP="000E01B8">
      <w:pPr>
        <w:pStyle w:val="ManualNumPar1"/>
        <w:spacing w:before="0" w:line="240" w:lineRule="auto"/>
        <w:jc w:val="both"/>
      </w:pPr>
      <w:r w:rsidRPr="000C342D">
        <w:t>(5)</w:t>
      </w:r>
      <w:r w:rsidRPr="000C342D">
        <w:tab/>
        <w:t xml:space="preserve">Les informations visées au paragraphe 4 contiennent toutes les précisions disponibles, notamment les données nécessaires pour identifier le jouet non conforme, son origine, la nature de la non-conformité présumée et du risque encouru, la nature et la durée des mesures nationales adoptées ainsi que les arguments soulevés par l'opérateur économique concerné. En particulier, </w:t>
      </w:r>
      <w:r>
        <w:t>l’Institut indique</w:t>
      </w:r>
      <w:r w:rsidRPr="000C342D">
        <w:t xml:space="preserve"> si la non-conformité est liée</w:t>
      </w:r>
      <w:r>
        <w:t> :</w:t>
      </w:r>
    </w:p>
    <w:p w:rsidR="00BB166C" w:rsidRPr="000C342D" w:rsidRDefault="00BB166C" w:rsidP="000E01B8">
      <w:pPr>
        <w:pStyle w:val="Point1"/>
        <w:spacing w:before="0" w:line="240" w:lineRule="auto"/>
        <w:jc w:val="both"/>
      </w:pPr>
      <w:r w:rsidRPr="000C342D">
        <w:t>a)</w:t>
      </w:r>
      <w:r w:rsidRPr="000C342D">
        <w:tab/>
        <w:t>à la non-conformité du jouet avec les exigences liées à la santé ou à la sécurité des personnes, ou</w:t>
      </w:r>
    </w:p>
    <w:p w:rsidR="00BB166C" w:rsidRPr="000C342D" w:rsidRDefault="00BB166C" w:rsidP="000E01B8">
      <w:pPr>
        <w:pStyle w:val="Point1"/>
        <w:spacing w:before="0" w:line="240" w:lineRule="auto"/>
        <w:jc w:val="both"/>
      </w:pPr>
      <w:r w:rsidRPr="000C342D">
        <w:t>b)</w:t>
      </w:r>
      <w:r w:rsidRPr="000C342D">
        <w:tab/>
        <w:t>aux lacunes dans les normes harmonisées visées à l'article 13, qui confèrent une présomption de conformité.</w:t>
      </w:r>
    </w:p>
    <w:p w:rsidR="00BB166C" w:rsidRPr="00A23369" w:rsidRDefault="00BB166C" w:rsidP="000E01B8">
      <w:pPr>
        <w:pStyle w:val="ManualNumPar1"/>
        <w:spacing w:before="0" w:line="240" w:lineRule="auto"/>
        <w:jc w:val="both"/>
      </w:pPr>
      <w:r w:rsidRPr="00A23369">
        <w:t>(6)</w:t>
      </w:r>
      <w:r w:rsidRPr="00A23369">
        <w:tab/>
      </w:r>
      <w:r>
        <w:t xml:space="preserve">Si une autorité nationale de surveillance du marché d’un autre </w:t>
      </w:r>
      <w:r w:rsidRPr="00A23369">
        <w:t>É</w:t>
      </w:r>
      <w:r>
        <w:t xml:space="preserve">tat membre </w:t>
      </w:r>
      <w:r w:rsidRPr="00A23369">
        <w:t xml:space="preserve">a entamé </w:t>
      </w:r>
      <w:r>
        <w:t>une</w:t>
      </w:r>
      <w:r w:rsidRPr="00A23369">
        <w:t xml:space="preserve"> procédure </w:t>
      </w:r>
      <w:r>
        <w:t xml:space="preserve">à l’encontre d’un jouet, l’Institut </w:t>
      </w:r>
      <w:r w:rsidRPr="00A23369">
        <w:t xml:space="preserve">informe immédiatement la </w:t>
      </w:r>
      <w:r>
        <w:t xml:space="preserve">Commission européenne </w:t>
      </w:r>
      <w:r w:rsidRPr="00A23369">
        <w:t xml:space="preserve">et les autres États membres de toute mesure adoptée et de toute information supplémentaire dont il dispose en ce qui concerne la non-conformité du jouet concerné, et, en contestation de la mesure nationale notifiée, de </w:t>
      </w:r>
      <w:r>
        <w:t>ses</w:t>
      </w:r>
      <w:r w:rsidRPr="00A23369">
        <w:t xml:space="preserve"> objections.</w:t>
      </w:r>
    </w:p>
    <w:p w:rsidR="00BB166C" w:rsidRPr="000C342D" w:rsidRDefault="00BB166C" w:rsidP="000E01B8">
      <w:pPr>
        <w:pStyle w:val="ManualNumPar1"/>
        <w:spacing w:before="0" w:line="240" w:lineRule="auto"/>
        <w:jc w:val="both"/>
      </w:pPr>
      <w:r w:rsidRPr="000C342D">
        <w:t>(</w:t>
      </w:r>
      <w:r>
        <w:t>7</w:t>
      </w:r>
      <w:r w:rsidRPr="000C342D">
        <w:t>)</w:t>
      </w:r>
      <w:r w:rsidRPr="000C342D">
        <w:tab/>
        <w:t xml:space="preserve">Lorsque, dans les trois mois à partir de la réception des informations visées au paragraphe 4, aucune objection n'a été émise par un État membre ou par la </w:t>
      </w:r>
      <w:r>
        <w:t xml:space="preserve">Commission européenne </w:t>
      </w:r>
      <w:r w:rsidRPr="000C342D">
        <w:t xml:space="preserve">à l'encontre de la mesure provisoire </w:t>
      </w:r>
      <w:r>
        <w:t>de l’Institut</w:t>
      </w:r>
      <w:r w:rsidRPr="000C342D">
        <w:t>, la mesure est réputée être justifiée.</w:t>
      </w:r>
    </w:p>
    <w:p w:rsidR="00BB166C" w:rsidRPr="000C342D" w:rsidRDefault="00BB166C" w:rsidP="000E01B8">
      <w:pPr>
        <w:pStyle w:val="ManualNumPar1"/>
        <w:spacing w:before="0" w:after="240" w:line="240" w:lineRule="auto"/>
        <w:ind w:left="851" w:hanging="851"/>
        <w:jc w:val="both"/>
      </w:pPr>
      <w:r w:rsidRPr="000C342D">
        <w:t>(</w:t>
      </w:r>
      <w:r>
        <w:t>8</w:t>
      </w:r>
      <w:r w:rsidRPr="000C342D">
        <w:t>)</w:t>
      </w:r>
      <w:r w:rsidRPr="000C342D">
        <w:tab/>
      </w:r>
      <w:r>
        <w:t>L’Institut veille</w:t>
      </w:r>
      <w:r w:rsidRPr="000C342D">
        <w:t xml:space="preserve"> à ce que des mesures restrictives appropriées, tel que le retrait du marché du jouet concerné, soient prises immédiatement.</w:t>
      </w:r>
    </w:p>
    <w:p w:rsidR="00BB166C" w:rsidRPr="005A4D4C" w:rsidRDefault="00BB166C" w:rsidP="000E01B8">
      <w:pPr>
        <w:spacing w:before="0" w:line="240" w:lineRule="auto"/>
        <w:rPr>
          <w:b/>
        </w:rPr>
      </w:pPr>
      <w:r w:rsidRPr="005A4D4C">
        <w:rPr>
          <w:b/>
        </w:rPr>
        <w:t xml:space="preserve">Art. </w:t>
      </w:r>
      <w:r>
        <w:rPr>
          <w:b/>
        </w:rPr>
        <w:t>39</w:t>
      </w:r>
      <w:r w:rsidRPr="005A4D4C">
        <w:rPr>
          <w:b/>
        </w:rPr>
        <w:t xml:space="preserve">. - </w:t>
      </w:r>
      <w:r w:rsidRPr="005A4D4C">
        <w:rPr>
          <w:b/>
          <w:i/>
        </w:rPr>
        <w:t>Non-conformité formelle</w:t>
      </w:r>
    </w:p>
    <w:p w:rsidR="00BB166C" w:rsidRPr="000C342D" w:rsidRDefault="00BB166C" w:rsidP="000E01B8">
      <w:pPr>
        <w:pStyle w:val="ManualNumPar1"/>
        <w:spacing w:before="0" w:line="240" w:lineRule="auto"/>
        <w:jc w:val="both"/>
      </w:pPr>
      <w:r w:rsidRPr="000C342D">
        <w:t>1</w:t>
      </w:r>
      <w:r>
        <w:t>.</w:t>
      </w:r>
      <w:r>
        <w:tab/>
        <w:t>Sans préjudice de l'article 37, lorsque l’Institut</w:t>
      </w:r>
      <w:r w:rsidRPr="000C342D">
        <w:t xml:space="preserve"> fait l'une des constatations suivantes, il invite l'opérateur économique en cause à mettre un terme à la non-conformité en question</w:t>
      </w:r>
      <w:r>
        <w:t> :</w:t>
      </w:r>
    </w:p>
    <w:p w:rsidR="00BB166C" w:rsidRPr="000C342D" w:rsidRDefault="00BB166C" w:rsidP="000E01B8">
      <w:pPr>
        <w:pStyle w:val="Point1"/>
        <w:spacing w:before="0" w:line="240" w:lineRule="auto"/>
        <w:jc w:val="both"/>
      </w:pPr>
      <w:r w:rsidRPr="000C342D">
        <w:t>a)</w:t>
      </w:r>
      <w:r w:rsidRPr="000C342D">
        <w:tab/>
        <w:t>le marquage CE a été apposé en</w:t>
      </w:r>
      <w:r>
        <w:t xml:space="preserve"> violation de l'article 15 ou 16 ;</w:t>
      </w:r>
    </w:p>
    <w:p w:rsidR="00BB166C" w:rsidRPr="000C342D" w:rsidRDefault="00BB166C" w:rsidP="000E01B8">
      <w:pPr>
        <w:pStyle w:val="Point1"/>
        <w:spacing w:before="0" w:line="240" w:lineRule="auto"/>
        <w:jc w:val="both"/>
      </w:pPr>
      <w:r w:rsidRPr="000C342D">
        <w:t>b)</w:t>
      </w:r>
      <w:r w:rsidRPr="000C342D">
        <w:tab/>
        <w:t>le</w:t>
      </w:r>
      <w:r>
        <w:t xml:space="preserve"> marquage CE n'a pas été apposé ;</w:t>
      </w:r>
    </w:p>
    <w:p w:rsidR="00BB166C" w:rsidRPr="000C342D" w:rsidRDefault="00BB166C" w:rsidP="000E01B8">
      <w:pPr>
        <w:pStyle w:val="Point1"/>
        <w:spacing w:before="0" w:line="240" w:lineRule="auto"/>
        <w:jc w:val="both"/>
      </w:pPr>
      <w:r w:rsidRPr="000C342D">
        <w:t>c)</w:t>
      </w:r>
      <w:r w:rsidRPr="000C342D">
        <w:tab/>
        <w:t>la déclaration CE de</w:t>
      </w:r>
      <w:r>
        <w:t xml:space="preserve"> conformité n'a pas été établie ;</w:t>
      </w:r>
    </w:p>
    <w:p w:rsidR="00BB166C" w:rsidRPr="000C342D" w:rsidRDefault="00BB166C" w:rsidP="000E01B8">
      <w:pPr>
        <w:pStyle w:val="Point1"/>
        <w:spacing w:before="0" w:line="240" w:lineRule="auto"/>
        <w:jc w:val="both"/>
      </w:pPr>
      <w:r w:rsidRPr="000C342D">
        <w:t>d)</w:t>
      </w:r>
      <w:r w:rsidRPr="000C342D">
        <w:tab/>
        <w:t>la déclaration CE de conformité n</w:t>
      </w:r>
      <w:r>
        <w:t>'a pas été établie correctement ;</w:t>
      </w:r>
    </w:p>
    <w:p w:rsidR="00BB166C" w:rsidRPr="000C342D" w:rsidRDefault="00BB166C" w:rsidP="000E01B8">
      <w:pPr>
        <w:pStyle w:val="Point1"/>
        <w:spacing w:before="0" w:line="240" w:lineRule="auto"/>
        <w:jc w:val="both"/>
      </w:pPr>
      <w:r w:rsidRPr="000C342D">
        <w:t>e)</w:t>
      </w:r>
      <w:r w:rsidRPr="000C342D">
        <w:tab/>
        <w:t>la documentation technique est indisponible ou incomplète.</w:t>
      </w:r>
    </w:p>
    <w:p w:rsidR="00BB166C" w:rsidRPr="000C342D" w:rsidRDefault="00BB166C" w:rsidP="000E01B8">
      <w:pPr>
        <w:pStyle w:val="ManualNumPar1"/>
        <w:spacing w:before="0" w:after="360" w:line="240" w:lineRule="auto"/>
        <w:ind w:left="851" w:hanging="851"/>
        <w:jc w:val="both"/>
      </w:pPr>
      <w:r w:rsidRPr="000C342D">
        <w:t>2.</w:t>
      </w:r>
      <w:r w:rsidRPr="000C342D">
        <w:tab/>
        <w:t xml:space="preserve">Si la non-conformité visée au paragraphe 1 persiste, </w:t>
      </w:r>
      <w:r>
        <w:t>l’Institut</w:t>
      </w:r>
      <w:r w:rsidRPr="000C342D">
        <w:t xml:space="preserve"> prend les mesures appropriées pour restreindre ou interdire la mise à disposition du jouet sur le marché, ou pour assurer son rappel ou son retrait du marché.</w:t>
      </w:r>
    </w:p>
    <w:p w:rsidR="00BB166C" w:rsidRPr="004E09C2" w:rsidRDefault="00BB166C" w:rsidP="000E01B8">
      <w:pPr>
        <w:pStyle w:val="ChapterTitle"/>
        <w:spacing w:before="0" w:after="240" w:line="240" w:lineRule="auto"/>
        <w:rPr>
          <w:sz w:val="24"/>
        </w:rPr>
      </w:pPr>
      <w:r>
        <w:rPr>
          <w:sz w:val="24"/>
        </w:rPr>
        <w:t>Chapitre 7</w:t>
      </w:r>
      <w:r w:rsidRPr="004E09C2">
        <w:rPr>
          <w:sz w:val="24"/>
        </w:rPr>
        <w:t>. – Dispositions administratives spécifiques</w:t>
      </w:r>
    </w:p>
    <w:p w:rsidR="00BB166C" w:rsidRPr="003F5C88" w:rsidRDefault="00BB166C" w:rsidP="000E01B8">
      <w:pPr>
        <w:pStyle w:val="ManualNumPar1"/>
        <w:spacing w:before="0" w:line="240" w:lineRule="auto"/>
        <w:jc w:val="both"/>
        <w:rPr>
          <w:b/>
        </w:rPr>
      </w:pPr>
      <w:r>
        <w:rPr>
          <w:b/>
        </w:rPr>
        <w:t xml:space="preserve">Art. 40. - </w:t>
      </w:r>
      <w:r w:rsidRPr="003F5C88">
        <w:rPr>
          <w:b/>
          <w:i/>
        </w:rPr>
        <w:t>Motivation des mesures</w:t>
      </w:r>
    </w:p>
    <w:p w:rsidR="00BB166C" w:rsidRPr="000C342D" w:rsidRDefault="00BB166C" w:rsidP="000E01B8">
      <w:pPr>
        <w:spacing w:before="0" w:line="240" w:lineRule="auto"/>
        <w:jc w:val="both"/>
      </w:pPr>
      <w:r w:rsidRPr="000C342D">
        <w:t xml:space="preserve">Toute mesure arrêtée en vertu de la présente </w:t>
      </w:r>
      <w:r>
        <w:t>loi</w:t>
      </w:r>
      <w:r w:rsidRPr="000C342D">
        <w:t xml:space="preserve"> en vue d'interdire ou de limiter la mise sur le marché d'un jouet, de le retirer ou de le rappeler est motivée de façon précise.</w:t>
      </w:r>
    </w:p>
    <w:p w:rsidR="00BB166C" w:rsidRPr="000C342D" w:rsidRDefault="00BB166C" w:rsidP="000E01B8">
      <w:pPr>
        <w:spacing w:before="0" w:line="240" w:lineRule="auto"/>
        <w:jc w:val="both"/>
      </w:pPr>
      <w:r w:rsidRPr="000C342D">
        <w:rPr>
          <w:bCs/>
          <w:color w:val="000000"/>
          <w:szCs w:val="22"/>
        </w:rPr>
        <w:t>La mesure est notifiée à l'intéressé, sans délai, avec l'indication des voies de recours ouvertes par les</w:t>
      </w:r>
      <w:r w:rsidRPr="000C342D">
        <w:t xml:space="preserve"> législations en vigueur </w:t>
      </w:r>
      <w:r>
        <w:t>au Grand-Duché de Luxembourg</w:t>
      </w:r>
      <w:r w:rsidRPr="000C342D">
        <w:t xml:space="preserve"> et des délais dans lesquels ces recours doivent être introduits.</w:t>
      </w:r>
    </w:p>
    <w:p w:rsidR="00BB166C" w:rsidRPr="000C342D" w:rsidRDefault="00BB166C" w:rsidP="000E01B8">
      <w:pPr>
        <w:pStyle w:val="ChapterTitle"/>
        <w:spacing w:before="0" w:after="240" w:line="240" w:lineRule="auto"/>
        <w:rPr>
          <w:sz w:val="24"/>
        </w:rPr>
      </w:pPr>
      <w:r w:rsidRPr="000C342D">
        <w:rPr>
          <w:sz w:val="24"/>
        </w:rPr>
        <w:t>Chapitre 8. – Sanctions</w:t>
      </w:r>
    </w:p>
    <w:p w:rsidR="00BB166C" w:rsidRPr="008F0DC0" w:rsidRDefault="00BB166C" w:rsidP="000E01B8">
      <w:pPr>
        <w:spacing w:before="0" w:line="240" w:lineRule="auto"/>
        <w:rPr>
          <w:b/>
        </w:rPr>
      </w:pPr>
      <w:r w:rsidRPr="008F0DC0">
        <w:rPr>
          <w:b/>
        </w:rPr>
        <w:t>Art. 4</w:t>
      </w:r>
      <w:r>
        <w:rPr>
          <w:b/>
        </w:rPr>
        <w:t>1</w:t>
      </w:r>
      <w:r w:rsidRPr="008F0DC0">
        <w:rPr>
          <w:b/>
        </w:rPr>
        <w:t xml:space="preserve">. - </w:t>
      </w:r>
      <w:r w:rsidRPr="008F0DC0">
        <w:rPr>
          <w:b/>
          <w:i/>
        </w:rPr>
        <w:t>Les sanctions pénales dans le cadre de la surveillance du marché (ancien article 51)</w:t>
      </w:r>
    </w:p>
    <w:p w:rsidR="00BB166C" w:rsidRPr="000C342D" w:rsidRDefault="00BB166C" w:rsidP="000E01B8">
      <w:pPr>
        <w:pStyle w:val="ManualNumPar1"/>
        <w:spacing w:before="0" w:line="240" w:lineRule="auto"/>
        <w:jc w:val="both"/>
      </w:pPr>
      <w:r w:rsidRPr="000C342D">
        <w:t>(1)</w:t>
      </w:r>
      <w:r w:rsidRPr="000C342D">
        <w:tab/>
        <w:t xml:space="preserve">Est punie d’une amende de 251 euros à 25.000 euros et d’une peine d’emprisonnement de 8 jours à un an ou d’une de ces peines seulement, toute personne qui a mis sur le marché ou qui a mis à disposition sur le marché un </w:t>
      </w:r>
      <w:r>
        <w:t>jouet</w:t>
      </w:r>
      <w:r w:rsidRPr="000C342D">
        <w:t xml:space="preserve"> ou un lot </w:t>
      </w:r>
      <w:r>
        <w:t>de jouets</w:t>
      </w:r>
      <w:r w:rsidRPr="000C342D">
        <w:t xml:space="preserve"> dont elle sait ou dont elle aurait dû savoir que celui-ci n’est pas conforme aux prescriptions de la présente</w:t>
      </w:r>
      <w:r>
        <w:t xml:space="preserve"> loi</w:t>
      </w:r>
      <w:r w:rsidRPr="000C342D">
        <w:t>.</w:t>
      </w:r>
    </w:p>
    <w:p w:rsidR="00BB166C" w:rsidRPr="000C342D" w:rsidRDefault="00BB166C" w:rsidP="000E01B8">
      <w:pPr>
        <w:pStyle w:val="ManualNumPar1"/>
        <w:spacing w:before="0" w:line="240" w:lineRule="auto"/>
        <w:jc w:val="both"/>
      </w:pPr>
      <w:r w:rsidRPr="000C342D">
        <w:t>(2)</w:t>
      </w:r>
      <w:r w:rsidRPr="000C342D">
        <w:tab/>
        <w:t>Est punie des mêmes peines, le maximum de l’amende prévue étant porté à 125.000 euros, toute personne qui ne s’est pas conformée aux décisions prise</w:t>
      </w:r>
      <w:r>
        <w:t>s en application de l’article 35</w:t>
      </w:r>
      <w:r w:rsidRPr="000C342D">
        <w:t>.</w:t>
      </w:r>
    </w:p>
    <w:p w:rsidR="00BB166C" w:rsidRPr="000C342D" w:rsidRDefault="00BB166C" w:rsidP="000E01B8">
      <w:pPr>
        <w:pStyle w:val="ManualNumPar1"/>
        <w:spacing w:before="0" w:line="240" w:lineRule="auto"/>
        <w:jc w:val="both"/>
      </w:pPr>
      <w:r w:rsidRPr="000C342D">
        <w:t>(3)</w:t>
      </w:r>
      <w:r w:rsidRPr="000C342D">
        <w:tab/>
        <w:t xml:space="preserve">Est puni d’une amende de 25 euros à 250 euros, le distributeur qui a mis à disposition sur le marché </w:t>
      </w:r>
      <w:r w:rsidRPr="00DC31BE">
        <w:rPr>
          <w:color w:val="000000"/>
        </w:rPr>
        <w:t>un jouet ou un lot de jouets qui n’est pas conforme aux prescriptions de la présente loi. La</w:t>
      </w:r>
      <w:r w:rsidRPr="000C342D">
        <w:t xml:space="preserve"> confiscation du produit peut être ordonnée.</w:t>
      </w:r>
    </w:p>
    <w:p w:rsidR="00BB166C" w:rsidRPr="000C342D" w:rsidRDefault="00BB166C" w:rsidP="000E01B8">
      <w:pPr>
        <w:pStyle w:val="ManualNumPar1"/>
        <w:spacing w:before="0" w:after="240" w:line="240" w:lineRule="auto"/>
        <w:ind w:left="851" w:hanging="851"/>
        <w:jc w:val="both"/>
      </w:pPr>
      <w:r w:rsidRPr="000C342D">
        <w:t>(4)</w:t>
      </w:r>
      <w:r w:rsidRPr="000C342D">
        <w:tab/>
        <w:t>Est puni des peines prévues au paragraphe 1er, le distributeur qui a commis de nouveau la contravention spécifiée au paragraphe 3 avant l’expiration d’un délai d’un an à partir du jour où une précédente condamnation du chef d’une telle contravention ou d’un des délits spécifiés aux paragraphes 1er et 2 du présent article sera devenue irrévocable.</w:t>
      </w:r>
    </w:p>
    <w:p w:rsidR="00BB166C" w:rsidRPr="00C474AF" w:rsidRDefault="00BB166C" w:rsidP="000E01B8">
      <w:pPr>
        <w:spacing w:before="0" w:line="240" w:lineRule="auto"/>
        <w:rPr>
          <w:b/>
          <w:i/>
        </w:rPr>
      </w:pPr>
      <w:r>
        <w:rPr>
          <w:b/>
        </w:rPr>
        <w:t>Art. 42</w:t>
      </w:r>
      <w:r w:rsidRPr="00C474AF">
        <w:rPr>
          <w:b/>
        </w:rPr>
        <w:t xml:space="preserve">. - </w:t>
      </w:r>
      <w:r w:rsidRPr="00C474AF">
        <w:rPr>
          <w:b/>
          <w:i/>
        </w:rPr>
        <w:t>Les avertissements taxés</w:t>
      </w:r>
    </w:p>
    <w:p w:rsidR="00BB166C" w:rsidRPr="000C342D" w:rsidRDefault="00BB166C" w:rsidP="000E01B8">
      <w:pPr>
        <w:spacing w:before="0" w:after="360" w:line="240" w:lineRule="auto"/>
        <w:jc w:val="both"/>
      </w:pPr>
      <w:r w:rsidRPr="00DC31BE">
        <w:rPr>
          <w:color w:val="000000"/>
        </w:rPr>
        <w:t>En cas de contraventions punies conformément aux dispositions de l’article 41 (3), des avertissements taxés</w:t>
      </w:r>
      <w:r w:rsidRPr="000C342D">
        <w:t xml:space="preserve"> peuvent être décernés conformément aux dispositions de l’article 19 de la loi du 20 mai 2008, étant précisé que le montant à percevoir par avertissement taxé ne peut pas dépasser le maximum d</w:t>
      </w:r>
      <w:r>
        <w:t>e l’amende prévue à l’article 40</w:t>
      </w:r>
      <w:r w:rsidRPr="000C342D">
        <w:t xml:space="preserve"> (3).</w:t>
      </w:r>
    </w:p>
    <w:p w:rsidR="00BB166C" w:rsidRPr="000C342D" w:rsidRDefault="00BB166C" w:rsidP="000E01B8">
      <w:pPr>
        <w:pStyle w:val="ChapterTitle"/>
        <w:spacing w:before="0" w:after="240" w:line="240" w:lineRule="auto"/>
        <w:rPr>
          <w:sz w:val="24"/>
        </w:rPr>
      </w:pPr>
      <w:r w:rsidRPr="00C474AF">
        <w:rPr>
          <w:sz w:val="24"/>
        </w:rPr>
        <w:t>Chapitre 9. – Dispositions finales</w:t>
      </w:r>
      <w:r w:rsidRPr="00C474AF" w:rsidDel="00825585">
        <w:rPr>
          <w:sz w:val="24"/>
        </w:rPr>
        <w:t xml:space="preserve"> </w:t>
      </w:r>
    </w:p>
    <w:p w:rsidR="00BB166C" w:rsidRPr="003F06A0" w:rsidRDefault="00BB166C" w:rsidP="000E01B8">
      <w:pPr>
        <w:spacing w:before="0" w:line="240" w:lineRule="auto"/>
        <w:rPr>
          <w:b/>
        </w:rPr>
      </w:pPr>
      <w:r w:rsidRPr="003F06A0">
        <w:rPr>
          <w:b/>
        </w:rPr>
        <w:t>Art. 4</w:t>
      </w:r>
      <w:r>
        <w:rPr>
          <w:b/>
        </w:rPr>
        <w:t>3</w:t>
      </w:r>
      <w:r w:rsidRPr="003F06A0">
        <w:rPr>
          <w:b/>
        </w:rPr>
        <w:t xml:space="preserve">. - </w:t>
      </w:r>
      <w:r w:rsidRPr="003F06A0">
        <w:rPr>
          <w:b/>
          <w:i/>
        </w:rPr>
        <w:t xml:space="preserve">Application </w:t>
      </w:r>
      <w:r>
        <w:rPr>
          <w:b/>
          <w:i/>
        </w:rPr>
        <w:t>de la loi modifiée du 21 avril 1989 et de la loi du 31 juillet 2006</w:t>
      </w:r>
    </w:p>
    <w:p w:rsidR="00BB166C" w:rsidRPr="00797926" w:rsidRDefault="00BB166C" w:rsidP="000E01B8">
      <w:pPr>
        <w:pStyle w:val="ManualNumPar1"/>
        <w:spacing w:before="0" w:line="240" w:lineRule="auto"/>
        <w:ind w:left="851" w:hanging="851"/>
        <w:jc w:val="both"/>
      </w:pPr>
      <w:r w:rsidRPr="00797926">
        <w:t>(1)</w:t>
      </w:r>
      <w:r w:rsidRPr="00797926">
        <w:tab/>
        <w:t>La présente loi s'applique sans préjudice de la loi modifiée du 21 avril 1989 relative à la responsabilité civile du fait des produits défectueux.</w:t>
      </w:r>
    </w:p>
    <w:p w:rsidR="00BB166C" w:rsidRDefault="00BB166C" w:rsidP="000E01B8">
      <w:pPr>
        <w:pStyle w:val="ManualNumPar1"/>
        <w:spacing w:before="0" w:after="240" w:line="240" w:lineRule="auto"/>
        <w:ind w:left="851" w:hanging="851"/>
        <w:jc w:val="both"/>
      </w:pPr>
      <w:r w:rsidRPr="00797926">
        <w:t>(2)</w:t>
      </w:r>
      <w:r w:rsidRPr="00797926">
        <w:tab/>
        <w:t>La loi du 31 juillet 2006 relative à la sécurité générale des produits s'applique aux jouets conformément à son article 1er, paragraphe 2.</w:t>
      </w:r>
    </w:p>
    <w:p w:rsidR="00BB166C" w:rsidRPr="0097746D" w:rsidRDefault="00BB166C" w:rsidP="000E01B8">
      <w:pPr>
        <w:pStyle w:val="Text1"/>
        <w:ind w:left="0"/>
        <w:rPr>
          <w:b/>
        </w:rPr>
      </w:pPr>
      <w:r>
        <w:rPr>
          <w:b/>
        </w:rPr>
        <w:br w:type="page"/>
      </w:r>
      <w:r w:rsidRPr="0097746D">
        <w:rPr>
          <w:b/>
        </w:rPr>
        <w:t>Art. 44. –</w:t>
      </w:r>
      <w:r>
        <w:rPr>
          <w:b/>
        </w:rPr>
        <w:t xml:space="preserve"> </w:t>
      </w:r>
      <w:r w:rsidRPr="0097746D">
        <w:rPr>
          <w:b/>
          <w:i/>
        </w:rPr>
        <w:t>Période</w:t>
      </w:r>
      <w:r>
        <w:rPr>
          <w:b/>
          <w:i/>
        </w:rPr>
        <w:t>s</w:t>
      </w:r>
      <w:r w:rsidRPr="0097746D">
        <w:rPr>
          <w:b/>
          <w:i/>
        </w:rPr>
        <w:t xml:space="preserve"> de transition</w:t>
      </w:r>
    </w:p>
    <w:p w:rsidR="00BB166C" w:rsidRPr="00A45E27" w:rsidRDefault="00BB166C" w:rsidP="000E01B8">
      <w:pPr>
        <w:pStyle w:val="ManualNumPar1"/>
        <w:spacing w:before="0" w:line="240" w:lineRule="auto"/>
        <w:ind w:left="851" w:hanging="851"/>
        <w:jc w:val="both"/>
      </w:pPr>
      <w:r>
        <w:t>(1)</w:t>
      </w:r>
      <w:r>
        <w:tab/>
        <w:t>L’Institut n'empêche</w:t>
      </w:r>
      <w:r w:rsidRPr="00572A16">
        <w:t xml:space="preserve"> pas la mise à disposition sur le marché de jouets qui sont conformes à la </w:t>
      </w:r>
      <w:r>
        <w:t xml:space="preserve">législation nationale transposant la </w:t>
      </w:r>
      <w:r w:rsidRPr="00572A16">
        <w:t xml:space="preserve">directive 88/378/CEE </w:t>
      </w:r>
      <w:r w:rsidRPr="008E42CF">
        <w:t>du Conseil du 3 mai 1988 concernant le rapprochement des législations des États membres relatives à la sécurité des jouets</w:t>
      </w:r>
      <w:r>
        <w:t xml:space="preserve">, </w:t>
      </w:r>
      <w:r w:rsidRPr="00572A16">
        <w:t xml:space="preserve">et qui ont été mis sur le marché avant le </w:t>
      </w:r>
      <w:r>
        <w:t>20 juillet 2011</w:t>
      </w:r>
      <w:r w:rsidRPr="00572A16">
        <w:t>.</w:t>
      </w:r>
    </w:p>
    <w:p w:rsidR="00BB166C" w:rsidRPr="00E616B4" w:rsidRDefault="00BB166C" w:rsidP="000E01B8">
      <w:pPr>
        <w:pStyle w:val="ManualNumPar1"/>
        <w:spacing w:before="0" w:after="240" w:line="240" w:lineRule="auto"/>
        <w:ind w:left="851" w:hanging="851"/>
        <w:jc w:val="both"/>
      </w:pPr>
      <w:r>
        <w:t>(2)</w:t>
      </w:r>
      <w:r w:rsidRPr="00E616B4">
        <w:tab/>
        <w:t xml:space="preserve">Outre les </w:t>
      </w:r>
      <w:r w:rsidRPr="00572A16">
        <w:t xml:space="preserve">exigences prévues au paragraphe 1, </w:t>
      </w:r>
      <w:r>
        <w:t>l’Institut n'empêche</w:t>
      </w:r>
      <w:r w:rsidRPr="00572A16">
        <w:t xml:space="preserve"> pas la mise à </w:t>
      </w:r>
      <w:r w:rsidRPr="00AF21C8">
        <w:t>disposition</w:t>
      </w:r>
      <w:r w:rsidRPr="00572A16">
        <w:t xml:space="preserve"> sur le marché de jouets qui sont conformes aux exigences de la présente </w:t>
      </w:r>
      <w:r>
        <w:t>loi</w:t>
      </w:r>
      <w:r w:rsidRPr="00572A16">
        <w:t xml:space="preserve">, hormis celles énoncées dans la partie III de l'annexe II, à condition que ces jouets satisfassent aux exigences prévues dans la partie III de l'annexe II de la </w:t>
      </w:r>
      <w:r>
        <w:t xml:space="preserve">législation nationale transposant la </w:t>
      </w:r>
      <w:r w:rsidRPr="00572A16">
        <w:t xml:space="preserve">directive 88/378/CEE et qu'ils aient été mis sur le marché avant le </w:t>
      </w:r>
      <w:r>
        <w:t>20 juillet 2013</w:t>
      </w:r>
      <w:r w:rsidRPr="00572A16">
        <w:t>.</w:t>
      </w:r>
    </w:p>
    <w:p w:rsidR="00BB166C" w:rsidRPr="000C342D" w:rsidRDefault="00BB166C" w:rsidP="000E01B8">
      <w:pPr>
        <w:spacing w:before="0" w:line="240" w:lineRule="auto"/>
        <w:jc w:val="both"/>
        <w:rPr>
          <w:strike/>
        </w:rPr>
      </w:pPr>
      <w:r>
        <w:rPr>
          <w:strike/>
        </w:rPr>
        <w:br w:type="page"/>
      </w:r>
    </w:p>
    <w:p w:rsidR="00BB166C" w:rsidRDefault="00BB166C" w:rsidP="000E01B8">
      <w:pPr>
        <w:pStyle w:val="Annexetitreacte"/>
        <w:spacing w:before="0" w:line="240" w:lineRule="auto"/>
        <w:outlineLvl w:val="0"/>
        <w:rPr>
          <w:u w:val="none"/>
        </w:rPr>
      </w:pPr>
      <w:r w:rsidRPr="0084059C">
        <w:rPr>
          <w:u w:val="none"/>
        </w:rPr>
        <w:t xml:space="preserve">Annexe I </w:t>
      </w:r>
    </w:p>
    <w:p w:rsidR="00BB166C" w:rsidRPr="0084059C" w:rsidRDefault="00BB166C" w:rsidP="000E01B8">
      <w:pPr>
        <w:pStyle w:val="Annexetitreacte"/>
        <w:spacing w:before="0" w:line="240" w:lineRule="auto"/>
        <w:outlineLvl w:val="0"/>
        <w:rPr>
          <w:u w:val="none"/>
        </w:rPr>
      </w:pPr>
      <w:r w:rsidRPr="0084059C">
        <w:rPr>
          <w:u w:val="none"/>
        </w:rPr>
        <w:t>Liste des produits qui ne sont pas considérés comme des jouets au sens de l’article 2, paragraphe 1, second alinéa de la présente loi</w:t>
      </w:r>
    </w:p>
    <w:p w:rsidR="00BB166C" w:rsidRPr="000C342D" w:rsidRDefault="00BB166C" w:rsidP="000E01B8">
      <w:pPr>
        <w:pStyle w:val="Point0"/>
        <w:spacing w:before="0" w:line="240" w:lineRule="auto"/>
        <w:jc w:val="both"/>
      </w:pPr>
      <w:r w:rsidRPr="000C342D">
        <w:t>1.</w:t>
      </w:r>
      <w:r w:rsidRPr="000C342D">
        <w:tab/>
        <w:t>Objets décoratifs servant aux fêtes et célébrations ;</w:t>
      </w:r>
    </w:p>
    <w:p w:rsidR="00BB166C" w:rsidRPr="000C342D" w:rsidRDefault="00BB166C" w:rsidP="000E01B8">
      <w:pPr>
        <w:pStyle w:val="Point0"/>
        <w:spacing w:before="0" w:line="240" w:lineRule="auto"/>
        <w:jc w:val="both"/>
      </w:pPr>
      <w:r w:rsidRPr="000C342D">
        <w:t>2.</w:t>
      </w:r>
      <w:r w:rsidRPr="000C342D">
        <w:tab/>
        <w:t>Produits destinés à des collectionneurs adultes, à condition que le produit ou son emballage indique de façon claire et lisible qu'il est destiné aux collectionneurs âgés d'au moins 14 ans. Exemples de produits appartenant à cette catégorie:</w:t>
      </w:r>
    </w:p>
    <w:p w:rsidR="00BB166C" w:rsidRPr="000C342D" w:rsidRDefault="00BB166C" w:rsidP="000E01B8">
      <w:pPr>
        <w:pStyle w:val="Point1"/>
        <w:spacing w:before="0" w:line="240" w:lineRule="auto"/>
        <w:jc w:val="both"/>
      </w:pPr>
      <w:r w:rsidRPr="000C342D">
        <w:t>a)</w:t>
      </w:r>
      <w:r w:rsidRPr="000C342D">
        <w:tab/>
        <w:t>modèles réduits à l'identique, construits à l'échelle en détail,</w:t>
      </w:r>
    </w:p>
    <w:p w:rsidR="00BB166C" w:rsidRPr="000C342D" w:rsidRDefault="00BB166C" w:rsidP="000E01B8">
      <w:pPr>
        <w:pStyle w:val="Point1"/>
        <w:spacing w:before="0" w:line="240" w:lineRule="auto"/>
        <w:jc w:val="both"/>
      </w:pPr>
      <w:r w:rsidRPr="000C342D">
        <w:t>b)</w:t>
      </w:r>
      <w:r w:rsidRPr="000C342D">
        <w:tab/>
      </w:r>
      <w:r w:rsidRPr="009112EF">
        <w:t>coffrets</w:t>
      </w:r>
      <w:r w:rsidRPr="000C342D">
        <w:t xml:space="preserve"> d'assemblage de modèles réduits construits à l'échelle en détail,</w:t>
      </w:r>
    </w:p>
    <w:p w:rsidR="00BB166C" w:rsidRPr="000C342D" w:rsidRDefault="00BB166C" w:rsidP="000E01B8">
      <w:pPr>
        <w:pStyle w:val="Point1"/>
        <w:spacing w:before="0" w:line="240" w:lineRule="auto"/>
        <w:jc w:val="both"/>
      </w:pPr>
      <w:r w:rsidRPr="000C342D">
        <w:t>c)</w:t>
      </w:r>
      <w:r w:rsidRPr="000C342D">
        <w:tab/>
        <w:t>poupées folkloriques et décoratives, et autres articles similaires,</w:t>
      </w:r>
    </w:p>
    <w:p w:rsidR="00BB166C" w:rsidRPr="000C342D" w:rsidRDefault="00BB166C" w:rsidP="000E01B8">
      <w:pPr>
        <w:pStyle w:val="Point1"/>
        <w:spacing w:before="0" w:line="240" w:lineRule="auto"/>
        <w:jc w:val="both"/>
      </w:pPr>
      <w:r w:rsidRPr="000C342D">
        <w:t>d)</w:t>
      </w:r>
      <w:r w:rsidRPr="000C342D">
        <w:tab/>
        <w:t>répliques historiques de jouets, et</w:t>
      </w:r>
    </w:p>
    <w:p w:rsidR="00BB166C" w:rsidRPr="000C342D" w:rsidRDefault="00BB166C" w:rsidP="000E01B8">
      <w:pPr>
        <w:pStyle w:val="Point1"/>
        <w:spacing w:before="0" w:line="240" w:lineRule="auto"/>
        <w:jc w:val="both"/>
      </w:pPr>
      <w:r w:rsidRPr="000C342D">
        <w:t>e)</w:t>
      </w:r>
      <w:r w:rsidRPr="000C342D">
        <w:tab/>
        <w:t>reproductions d'armes à feu réelles ;</w:t>
      </w:r>
    </w:p>
    <w:p w:rsidR="00BB166C" w:rsidRPr="000C342D" w:rsidRDefault="00BB166C" w:rsidP="000E01B8">
      <w:pPr>
        <w:pStyle w:val="Point0"/>
        <w:spacing w:before="0" w:line="240" w:lineRule="auto"/>
        <w:jc w:val="both"/>
      </w:pPr>
      <w:r w:rsidRPr="000C342D">
        <w:t>3.</w:t>
      </w:r>
      <w:r w:rsidRPr="000C342D">
        <w:tab/>
        <w:t>Équipements sportifs, y compris les patins à roulettes, les patins en ligne et les planches à roulettes destinés aux enfants pesant plus de 20 kg ;</w:t>
      </w:r>
    </w:p>
    <w:p w:rsidR="00BB166C" w:rsidRPr="000C342D" w:rsidRDefault="00BB166C" w:rsidP="000E01B8">
      <w:pPr>
        <w:pStyle w:val="Point0"/>
        <w:spacing w:before="0" w:line="240" w:lineRule="auto"/>
        <w:jc w:val="both"/>
      </w:pPr>
      <w:r w:rsidRPr="000C342D">
        <w:t>4.</w:t>
      </w:r>
      <w:r w:rsidRPr="000C342D">
        <w:tab/>
        <w:t>Les bicyclettes ayant une hauteur de selle maximale supérieure à 435 mm, distance mesurée à la verticale entre le sol et la surface supérieure de la selle, cette dernière se trouvant en position horizontale et réglée sur la position la plus basse ;</w:t>
      </w:r>
    </w:p>
    <w:p w:rsidR="00BB166C" w:rsidRPr="000C342D" w:rsidRDefault="00BB166C" w:rsidP="000E01B8">
      <w:pPr>
        <w:pStyle w:val="Point0"/>
        <w:spacing w:before="0" w:line="240" w:lineRule="auto"/>
        <w:jc w:val="both"/>
      </w:pPr>
      <w:r w:rsidRPr="000C342D">
        <w:t>5.</w:t>
      </w:r>
      <w:r w:rsidRPr="000C342D">
        <w:tab/>
      </w:r>
      <w:r w:rsidRPr="009112EF">
        <w:t>Trottinettes</w:t>
      </w:r>
      <w:r w:rsidRPr="000C342D">
        <w:t xml:space="preserve"> et autres moyens de transport conçus pour le sport ou qui sont destinés à être utilisés à des fins de déplacement sur les voies et les sentiers publics ;</w:t>
      </w:r>
    </w:p>
    <w:p w:rsidR="00BB166C" w:rsidRPr="000C342D" w:rsidRDefault="00BB166C" w:rsidP="000E01B8">
      <w:pPr>
        <w:pStyle w:val="Point0"/>
        <w:spacing w:before="0" w:line="240" w:lineRule="auto"/>
        <w:jc w:val="both"/>
      </w:pPr>
      <w:r w:rsidRPr="000C342D">
        <w:t>6.</w:t>
      </w:r>
      <w:r w:rsidRPr="000C342D">
        <w:tab/>
        <w:t>Véhicules électriques destinés à être utilisés pour les déplacements sur les voies et les sentiers publics, ou sur leurs trottoirs ;</w:t>
      </w:r>
    </w:p>
    <w:p w:rsidR="00BB166C" w:rsidRPr="000C342D" w:rsidRDefault="00BB166C" w:rsidP="000E01B8">
      <w:pPr>
        <w:pStyle w:val="Point0"/>
        <w:spacing w:before="0" w:line="240" w:lineRule="auto"/>
        <w:jc w:val="both"/>
      </w:pPr>
      <w:r w:rsidRPr="000C342D">
        <w:t>7.</w:t>
      </w:r>
      <w:r w:rsidRPr="000C342D">
        <w:tab/>
        <w:t>Équipements nautiques destinés à être utilisés dans des eaux profondes et dispositifs pour apprendre à nager destinés aux enfants, tels que les sièges de natation et les aides à la natation ;</w:t>
      </w:r>
    </w:p>
    <w:p w:rsidR="00BB166C" w:rsidRPr="000C342D" w:rsidRDefault="00BB166C" w:rsidP="000E01B8">
      <w:pPr>
        <w:pStyle w:val="Point0"/>
        <w:spacing w:before="0" w:line="240" w:lineRule="auto"/>
        <w:jc w:val="both"/>
      </w:pPr>
      <w:r w:rsidRPr="000C342D">
        <w:t>8.</w:t>
      </w:r>
      <w:r w:rsidRPr="000C342D">
        <w:tab/>
        <w:t>Puzzles de plus de 500 pièces ;</w:t>
      </w:r>
    </w:p>
    <w:p w:rsidR="00BB166C" w:rsidRPr="000C342D" w:rsidRDefault="00BB166C" w:rsidP="000E01B8">
      <w:pPr>
        <w:pStyle w:val="Point0"/>
        <w:spacing w:before="0" w:line="240" w:lineRule="auto"/>
        <w:jc w:val="both"/>
      </w:pPr>
      <w:r w:rsidRPr="000C342D">
        <w:t>9.</w:t>
      </w:r>
      <w:r w:rsidRPr="000C342D">
        <w:tab/>
        <w:t xml:space="preserve">Armes et pistolets à </w:t>
      </w:r>
      <w:r w:rsidRPr="009112EF">
        <w:t>air</w:t>
      </w:r>
      <w:r w:rsidRPr="000C342D">
        <w:t xml:space="preserve"> comprimé, à l'exception des pistolets à eau, et arcs à flèches d'une longueur supérieure à 120 cm ;</w:t>
      </w:r>
    </w:p>
    <w:p w:rsidR="00BB166C" w:rsidRPr="000C342D" w:rsidRDefault="00BB166C" w:rsidP="000E01B8">
      <w:pPr>
        <w:pStyle w:val="Point0"/>
        <w:spacing w:before="0" w:line="240" w:lineRule="auto"/>
        <w:jc w:val="both"/>
      </w:pPr>
      <w:r w:rsidRPr="000C342D">
        <w:t>10.</w:t>
      </w:r>
      <w:r w:rsidRPr="000C342D">
        <w:tab/>
        <w:t>Feux d'artifice, y compris amorces à percussion qui ne sont pas spécialement conçues pour des jouets ;</w:t>
      </w:r>
    </w:p>
    <w:p w:rsidR="00BB166C" w:rsidRPr="000C342D" w:rsidRDefault="00BB166C" w:rsidP="000E01B8">
      <w:pPr>
        <w:pStyle w:val="Point0"/>
        <w:spacing w:before="0" w:line="240" w:lineRule="auto"/>
        <w:jc w:val="both"/>
      </w:pPr>
      <w:r w:rsidRPr="000C342D">
        <w:t>11.</w:t>
      </w:r>
      <w:r w:rsidRPr="000C342D">
        <w:tab/>
        <w:t>Produits et jeux comprenant des projectiles à pointe acérée, tels que les jeux de fléchettes à pointe métallique ;</w:t>
      </w:r>
    </w:p>
    <w:p w:rsidR="00BB166C" w:rsidRPr="000C342D" w:rsidRDefault="00BB166C" w:rsidP="000E01B8">
      <w:pPr>
        <w:pStyle w:val="Point0"/>
        <w:spacing w:before="0" w:line="240" w:lineRule="auto"/>
        <w:jc w:val="both"/>
      </w:pPr>
      <w:r w:rsidRPr="000C342D">
        <w:t>12.</w:t>
      </w:r>
      <w:r w:rsidRPr="000C342D">
        <w:tab/>
        <w:t xml:space="preserve">Produits éducatifs fonctionnels, tels que les fours électriques, fers électriques et autres produits fonctionnels alimentés par une tension nominale supérieure à 24 volts et vendus exclusivement pour être employés à des fins </w:t>
      </w:r>
      <w:r w:rsidRPr="009112EF">
        <w:t>éducatives</w:t>
      </w:r>
      <w:r w:rsidRPr="000C342D">
        <w:t>, sous la surveillance d'un adulte ;</w:t>
      </w:r>
    </w:p>
    <w:p w:rsidR="00BB166C" w:rsidRPr="000C342D" w:rsidRDefault="00BB166C" w:rsidP="000E01B8">
      <w:pPr>
        <w:pStyle w:val="Point0"/>
        <w:spacing w:before="0" w:line="240" w:lineRule="auto"/>
        <w:jc w:val="both"/>
      </w:pPr>
      <w:r w:rsidRPr="000C342D">
        <w:t>13.</w:t>
      </w:r>
      <w:r w:rsidRPr="000C342D">
        <w:tab/>
        <w:t xml:space="preserve">Produits destinés à être utilisés dans les écoles à des fins éducatives et dans d'autres </w:t>
      </w:r>
      <w:r w:rsidRPr="009112EF">
        <w:t>contextes</w:t>
      </w:r>
      <w:r w:rsidRPr="000C342D">
        <w:t xml:space="preserve"> pédagogiques, sous la surveillance d'un instructeur adulte, tels que les équipements scientifiques ;</w:t>
      </w:r>
    </w:p>
    <w:p w:rsidR="00BB166C" w:rsidRPr="000C342D" w:rsidRDefault="00BB166C" w:rsidP="000E01B8">
      <w:pPr>
        <w:pStyle w:val="Point0"/>
        <w:spacing w:before="0" w:line="240" w:lineRule="auto"/>
        <w:jc w:val="both"/>
      </w:pPr>
      <w:r w:rsidRPr="000C342D">
        <w:t>14.</w:t>
      </w:r>
      <w:r w:rsidRPr="000C342D">
        <w:tab/>
        <w:t>Équipements électroniques, tels que les ordinateurs personnels et les consoles de jeu, servant à utiliser des logiciels interactifs et les périphériques associés, à moins que ces équipements électroniques ou les périphériques associés ne soient spécifiquement conçus pour les enfants et destinés à ceux-ci, et aient une valeur ludique, tels que les ordinateurs personnels, claviers, manettes de jeu ou volants spécialement conçus ;</w:t>
      </w:r>
    </w:p>
    <w:p w:rsidR="00BB166C" w:rsidRPr="000C342D" w:rsidRDefault="00BB166C" w:rsidP="000E01B8">
      <w:pPr>
        <w:pStyle w:val="Point0"/>
        <w:spacing w:before="0" w:line="240" w:lineRule="auto"/>
        <w:jc w:val="both"/>
      </w:pPr>
      <w:r w:rsidRPr="000C342D">
        <w:t>15.</w:t>
      </w:r>
      <w:r w:rsidRPr="000C342D">
        <w:tab/>
        <w:t xml:space="preserve">Logiciels interactifs destinés aux loisirs et aux divertissements, tels que les jeux électroniques, et leurs supports de mémoire, tels que les </w:t>
      </w:r>
      <w:r w:rsidRPr="007A21B4">
        <w:t>disques compacts</w:t>
      </w:r>
      <w:r>
        <w:t> ;</w:t>
      </w:r>
    </w:p>
    <w:p w:rsidR="00BB166C" w:rsidRPr="000C342D" w:rsidRDefault="00BB166C" w:rsidP="000E01B8">
      <w:pPr>
        <w:pStyle w:val="Point0"/>
        <w:spacing w:before="0" w:line="240" w:lineRule="auto"/>
        <w:jc w:val="both"/>
      </w:pPr>
      <w:r w:rsidRPr="000C342D">
        <w:t>16.</w:t>
      </w:r>
      <w:r w:rsidRPr="000C342D">
        <w:tab/>
        <w:t>Sucettes de puériculture ;</w:t>
      </w:r>
    </w:p>
    <w:p w:rsidR="00BB166C" w:rsidRPr="000C342D" w:rsidRDefault="00BB166C" w:rsidP="000E01B8">
      <w:pPr>
        <w:pStyle w:val="Point0"/>
        <w:spacing w:before="0" w:line="240" w:lineRule="auto"/>
        <w:jc w:val="both"/>
      </w:pPr>
      <w:r w:rsidRPr="000C342D">
        <w:t>17.</w:t>
      </w:r>
      <w:r w:rsidRPr="000C342D">
        <w:tab/>
        <w:t xml:space="preserve">Luminaires </w:t>
      </w:r>
      <w:r w:rsidRPr="007A21B4">
        <w:t>attrayants</w:t>
      </w:r>
      <w:r w:rsidRPr="000C342D">
        <w:t xml:space="preserve"> pour les enfants ;</w:t>
      </w:r>
    </w:p>
    <w:p w:rsidR="00BB166C" w:rsidRPr="000C342D" w:rsidRDefault="00BB166C" w:rsidP="000E01B8">
      <w:pPr>
        <w:pStyle w:val="Point0"/>
        <w:spacing w:before="0" w:line="240" w:lineRule="auto"/>
        <w:jc w:val="both"/>
      </w:pPr>
      <w:r w:rsidRPr="000C342D">
        <w:t>18.</w:t>
      </w:r>
      <w:r w:rsidRPr="000C342D">
        <w:tab/>
        <w:t xml:space="preserve">Transformateurs </w:t>
      </w:r>
      <w:r w:rsidRPr="007A21B4">
        <w:t>électriques</w:t>
      </w:r>
      <w:r>
        <w:t xml:space="preserve"> </w:t>
      </w:r>
      <w:r w:rsidRPr="000C342D">
        <w:t>pour jouets ;</w:t>
      </w:r>
    </w:p>
    <w:p w:rsidR="00BB166C" w:rsidRDefault="00BB166C" w:rsidP="000E01B8">
      <w:pPr>
        <w:pStyle w:val="Point0"/>
        <w:spacing w:before="0" w:line="240" w:lineRule="auto"/>
        <w:jc w:val="both"/>
      </w:pPr>
      <w:r w:rsidRPr="000C342D">
        <w:t>19.</w:t>
      </w:r>
      <w:r w:rsidRPr="000C342D">
        <w:tab/>
        <w:t xml:space="preserve">Accessoires de mode pour enfants, non destinés à être utilisés </w:t>
      </w:r>
      <w:r w:rsidRPr="007A21B4">
        <w:t>à des fins de jeu.</w:t>
      </w:r>
    </w:p>
    <w:p w:rsidR="00BB166C" w:rsidRPr="000C342D" w:rsidRDefault="00BB166C" w:rsidP="000E01B8">
      <w:pPr>
        <w:pStyle w:val="Point0"/>
        <w:spacing w:before="0" w:line="240" w:lineRule="auto"/>
        <w:jc w:val="both"/>
      </w:pPr>
      <w:r>
        <w:br w:type="page"/>
      </w:r>
    </w:p>
    <w:p w:rsidR="00BB166C" w:rsidRPr="00FE5DF1" w:rsidRDefault="00BB166C" w:rsidP="000E01B8">
      <w:pPr>
        <w:pStyle w:val="Annexetitreacte"/>
        <w:spacing w:before="0" w:line="240" w:lineRule="auto"/>
        <w:outlineLvl w:val="0"/>
        <w:rPr>
          <w:u w:val="none"/>
        </w:rPr>
      </w:pPr>
      <w:r w:rsidRPr="00FE5DF1">
        <w:rPr>
          <w:u w:val="none"/>
        </w:rPr>
        <w:t>Annexe II</w:t>
      </w:r>
    </w:p>
    <w:p w:rsidR="00BB166C" w:rsidRPr="000C342D" w:rsidRDefault="00BB166C" w:rsidP="000E01B8">
      <w:pPr>
        <w:pStyle w:val="NormalCentered"/>
        <w:spacing w:before="0" w:line="240" w:lineRule="auto"/>
      </w:pPr>
      <w:r w:rsidRPr="000C342D">
        <w:rPr>
          <w:b/>
        </w:rPr>
        <w:t>Exigences de sécurité particulières</w:t>
      </w:r>
    </w:p>
    <w:p w:rsidR="00BB166C" w:rsidRPr="0084059C" w:rsidRDefault="00BB166C" w:rsidP="000E01B8">
      <w:pPr>
        <w:pStyle w:val="Point0"/>
        <w:spacing w:before="0" w:line="240" w:lineRule="auto"/>
        <w:ind w:left="0" w:firstLine="50"/>
        <w:outlineLvl w:val="0"/>
        <w:rPr>
          <w:b/>
        </w:rPr>
      </w:pPr>
      <w:r w:rsidRPr="0084059C">
        <w:rPr>
          <w:b/>
        </w:rPr>
        <w:t>I.</w:t>
      </w:r>
      <w:r w:rsidRPr="0084059C">
        <w:rPr>
          <w:b/>
        </w:rPr>
        <w:tab/>
        <w:t>Propriétés physiques et mécaniques</w:t>
      </w:r>
    </w:p>
    <w:p w:rsidR="00BB166C" w:rsidRPr="000C342D" w:rsidRDefault="00BB166C" w:rsidP="000E01B8">
      <w:pPr>
        <w:pStyle w:val="Point0"/>
        <w:spacing w:before="0" w:line="240" w:lineRule="auto"/>
        <w:jc w:val="both"/>
      </w:pPr>
      <w:r w:rsidRPr="000C342D">
        <w:t>1.</w:t>
      </w:r>
      <w:r w:rsidRPr="000C342D">
        <w:tab/>
        <w:t>Les jouets et leurs pièces, ainsi que leurs fixations dans le cas de jouets montés, doivent avoir la résistance mécanique et, le ca</w:t>
      </w:r>
      <w:r>
        <w:t>s échéant, la stabilité requise</w:t>
      </w:r>
      <w:r w:rsidRPr="000C342D">
        <w:t xml:space="preserve"> pour résister aux contraintes auxquelles ils sont soumis lors de leur utilisation sans </w:t>
      </w:r>
      <w:r w:rsidRPr="007A21B4">
        <w:t>risque de provoquer des blessures par rupture ou déformation.</w:t>
      </w:r>
    </w:p>
    <w:p w:rsidR="00BB166C" w:rsidRPr="000C342D" w:rsidRDefault="00BB166C" w:rsidP="000E01B8">
      <w:pPr>
        <w:pStyle w:val="Point0"/>
        <w:spacing w:before="0" w:line="240" w:lineRule="auto"/>
        <w:jc w:val="both"/>
      </w:pPr>
      <w:r w:rsidRPr="000C342D">
        <w:t>2.</w:t>
      </w:r>
      <w:r w:rsidRPr="000C342D">
        <w:tab/>
        <w:t>Les arêtes, saillies, cordes, câbles et fixations accessibles des jouets doivent être conçus et fabriqués de manière à réduire, dans la mesure du possible, les risques de blessure lors d'un contact.</w:t>
      </w:r>
    </w:p>
    <w:p w:rsidR="00BB166C" w:rsidRPr="000C342D" w:rsidRDefault="00BB166C" w:rsidP="000E01B8">
      <w:pPr>
        <w:pStyle w:val="Point0"/>
        <w:spacing w:before="0" w:line="240" w:lineRule="auto"/>
        <w:jc w:val="both"/>
      </w:pPr>
      <w:r w:rsidRPr="000C342D">
        <w:t>3.</w:t>
      </w:r>
      <w:r w:rsidRPr="000C342D">
        <w:tab/>
        <w:t>Les jouets doivent être conçus et fabriqués de manière à ne présenter aucun risque ou seulement les risques minimaux inhérents à l'utilisation du jouet, du fait du mouvement de leurs pièces.</w:t>
      </w:r>
    </w:p>
    <w:p w:rsidR="00BB166C" w:rsidRPr="000C342D" w:rsidRDefault="00BB166C" w:rsidP="000E01B8">
      <w:pPr>
        <w:pStyle w:val="Point0"/>
        <w:spacing w:before="0" w:line="240" w:lineRule="auto"/>
        <w:jc w:val="both"/>
      </w:pPr>
      <w:r w:rsidRPr="000C342D">
        <w:t>4.</w:t>
      </w:r>
      <w:r w:rsidRPr="000C342D">
        <w:tab/>
        <w:t>a)</w:t>
      </w:r>
      <w:r w:rsidRPr="000C342D">
        <w:tab/>
        <w:t>Les jouets et leurs pièces ne doivent pas présenter de risque d'étranglement.</w:t>
      </w:r>
    </w:p>
    <w:p w:rsidR="00BB166C" w:rsidRPr="000C342D" w:rsidRDefault="00BB166C" w:rsidP="000E01B8">
      <w:pPr>
        <w:pStyle w:val="Point2"/>
        <w:spacing w:before="0" w:line="240" w:lineRule="auto"/>
        <w:ind w:left="1440"/>
        <w:jc w:val="both"/>
      </w:pPr>
      <w:r w:rsidRPr="000C342D">
        <w:t>b)</w:t>
      </w:r>
      <w:r w:rsidRPr="000C342D">
        <w:tab/>
        <w:t xml:space="preserve">Les jouets et leurs pièces ne doivent pas présenter de risque d'asphyxie par blocage </w:t>
      </w:r>
      <w:r w:rsidRPr="007A21B4">
        <w:t>de l’arrivée d’air</w:t>
      </w:r>
      <w:r w:rsidRPr="000C342D">
        <w:t xml:space="preserve"> résultant d'une obstruction externe des voies respiratoires par la bouche et le nez.</w:t>
      </w:r>
    </w:p>
    <w:p w:rsidR="00BB166C" w:rsidRPr="000C342D" w:rsidRDefault="00BB166C" w:rsidP="000E01B8">
      <w:pPr>
        <w:pStyle w:val="Point2"/>
        <w:spacing w:before="0" w:line="240" w:lineRule="auto"/>
        <w:ind w:left="1440"/>
        <w:jc w:val="both"/>
      </w:pPr>
      <w:r w:rsidRPr="000C342D">
        <w:t>c)</w:t>
      </w:r>
      <w:r w:rsidRPr="000C342D">
        <w:tab/>
        <w:t xml:space="preserve">Les jouets et leurs pièces doivent être d'une dimension telle qu'ils ne </w:t>
      </w:r>
      <w:r w:rsidRPr="007A21B4">
        <w:t>présentent pas</w:t>
      </w:r>
      <w:r>
        <w:t xml:space="preserve"> </w:t>
      </w:r>
      <w:r w:rsidRPr="000C342D">
        <w:t xml:space="preserve">de risque d'asphyxie par blocage de </w:t>
      </w:r>
      <w:r w:rsidRPr="007A21B4">
        <w:t>l’arrivée d’air</w:t>
      </w:r>
      <w:r w:rsidRPr="000C342D">
        <w:t xml:space="preserve"> résultant d'une obstruction interne des voies respiratoires par des objets coincés dans la bouche ou le pharynx ou à l'entrée des voies respiratoires inférieures.</w:t>
      </w:r>
    </w:p>
    <w:p w:rsidR="00BB166C" w:rsidRPr="000C342D" w:rsidRDefault="00BB166C" w:rsidP="000E01B8">
      <w:pPr>
        <w:pStyle w:val="Point2"/>
        <w:spacing w:before="0" w:line="240" w:lineRule="auto"/>
        <w:ind w:left="1440"/>
        <w:jc w:val="both"/>
      </w:pPr>
      <w:r w:rsidRPr="000C342D">
        <w:t>d)</w:t>
      </w:r>
      <w:r w:rsidRPr="000C342D">
        <w:tab/>
        <w:t>Les jouets qui sont manifestement destinés aux enfants de moins de 36 mois, leurs éléments et leurs pièces détachables, doivent être de dimension suffisante pour empêcher leur ingestion ou leur inhalation. Cela s'applique également aux autres jouets destinés à être mis en bouche, ainsi qu'à leurs éléments et leurs pièces détachables.</w:t>
      </w:r>
    </w:p>
    <w:p w:rsidR="00BB166C" w:rsidRPr="000C342D" w:rsidRDefault="00BB166C" w:rsidP="000E01B8">
      <w:pPr>
        <w:pStyle w:val="Point2"/>
        <w:spacing w:before="0" w:line="240" w:lineRule="auto"/>
        <w:ind w:left="1440"/>
        <w:jc w:val="both"/>
      </w:pPr>
      <w:r w:rsidRPr="000C342D">
        <w:t>e)</w:t>
      </w:r>
      <w:r w:rsidRPr="000C342D">
        <w:tab/>
        <w:t>Les emballages dans lesquels les jouets sont contenus pour la vente au détail ne doivent pas présenter de risques d'étranglement ou d'asphyxie par obstruction externe des voies respiratoires par la bouche et le nez.</w:t>
      </w:r>
    </w:p>
    <w:p w:rsidR="00BB166C" w:rsidRPr="000C342D" w:rsidRDefault="00BB166C" w:rsidP="000E01B8">
      <w:pPr>
        <w:pStyle w:val="Point2"/>
        <w:spacing w:before="0" w:line="240" w:lineRule="auto"/>
        <w:ind w:left="1440"/>
        <w:jc w:val="both"/>
      </w:pPr>
      <w:r w:rsidRPr="000C342D">
        <w:t>f)</w:t>
      </w:r>
      <w:r w:rsidRPr="000C342D">
        <w:tab/>
        <w:t xml:space="preserve">Les jouets présents dans des denrées alimentaires ou </w:t>
      </w:r>
      <w:r w:rsidRPr="007A21B4">
        <w:t>mélangés</w:t>
      </w:r>
      <w:r w:rsidRPr="000C342D">
        <w:t xml:space="preserve"> à des denrées alimentaires doivent avoir leur propre emballage. Cet emballage, tel qu'il se présente, doit être de dimension suffisante pour empêcher son ingestion ou son inhalation.</w:t>
      </w:r>
    </w:p>
    <w:p w:rsidR="00BB166C" w:rsidRPr="000C342D" w:rsidRDefault="00BB166C" w:rsidP="000E01B8">
      <w:pPr>
        <w:pStyle w:val="Point2"/>
        <w:spacing w:before="0" w:line="240" w:lineRule="auto"/>
        <w:ind w:left="1440"/>
        <w:jc w:val="both"/>
      </w:pPr>
      <w:r w:rsidRPr="000C342D">
        <w:t>g)</w:t>
      </w:r>
      <w:r w:rsidRPr="000C342D">
        <w:tab/>
        <w:t xml:space="preserve">Les emballages de jouets, visés aux points e) et f), sphériques, ovoïdes ou ellipsoïdes, et toutes </w:t>
      </w:r>
      <w:r w:rsidRPr="00317732">
        <w:t>pièces</w:t>
      </w:r>
      <w:r w:rsidRPr="000C342D">
        <w:t xml:space="preserve"> détachables de ceux-ci, ou d'emballages cylindriques aux extrémités arrondies, doivent être d'une dimension empêchant qu'ils causent une obstruction des voies respiratoires en se retrouvant coincés dans la bouche ou le pharynx ou à l'entrée des voies respiratoires inférieures.</w:t>
      </w:r>
    </w:p>
    <w:p w:rsidR="00BB166C" w:rsidRPr="000C342D" w:rsidRDefault="00BB166C" w:rsidP="000E01B8">
      <w:pPr>
        <w:pStyle w:val="Point2"/>
        <w:spacing w:before="0" w:line="240" w:lineRule="auto"/>
        <w:ind w:left="1440"/>
        <w:jc w:val="both"/>
      </w:pPr>
      <w:r w:rsidRPr="000C342D">
        <w:t>h)</w:t>
      </w:r>
      <w:r w:rsidRPr="000C342D">
        <w:tab/>
        <w:t>Les jouets qui font corps avec un produit alimentaire au stade de la consommation, de telle sorte qu'il est indispensable de consommer l'aliment avant d'avoir accès au jouet, sont interdits. Les parties de jouets qui, d'une autre manière, font corps avec un produit alimentaire doivent satisfaire aux exigences énoncées aux points c) et d).</w:t>
      </w:r>
    </w:p>
    <w:p w:rsidR="00BB166C" w:rsidRPr="000C342D" w:rsidRDefault="00BB166C" w:rsidP="000E01B8">
      <w:pPr>
        <w:pStyle w:val="Point0"/>
        <w:spacing w:before="0" w:line="240" w:lineRule="auto"/>
        <w:jc w:val="both"/>
      </w:pPr>
      <w:r w:rsidRPr="000C342D">
        <w:t>5.</w:t>
      </w:r>
      <w:r w:rsidRPr="000C342D">
        <w:tab/>
        <w:t>Les jouets aquatiques doivent être conçus et fabriqués de façon à réduire, dans la mesure du possible, et compte tenu de l'usage préconisé des jouets, tout risque de perte de flottabilité du jouet et de perte de l'appui donné à l'enfant.</w:t>
      </w:r>
    </w:p>
    <w:p w:rsidR="00BB166C" w:rsidRPr="000C342D" w:rsidRDefault="00BB166C" w:rsidP="000E01B8">
      <w:pPr>
        <w:pStyle w:val="Point0"/>
        <w:spacing w:before="0" w:line="240" w:lineRule="auto"/>
        <w:jc w:val="both"/>
      </w:pPr>
      <w:r w:rsidRPr="000C342D">
        <w:t>6.</w:t>
      </w:r>
      <w:r w:rsidRPr="000C342D">
        <w:tab/>
        <w:t xml:space="preserve">Les jouets dans lesquels on peut pénétrer et qui constituent, de ce fait, un espace clos pour les occupants doivent posséder </w:t>
      </w:r>
      <w:r w:rsidRPr="00317732">
        <w:t>un moyen de sortie</w:t>
      </w:r>
      <w:r w:rsidRPr="000C342D">
        <w:t xml:space="preserve"> que ceux-ci peuvent facilement </w:t>
      </w:r>
      <w:r w:rsidRPr="00317732">
        <w:t>actionner</w:t>
      </w:r>
      <w:r w:rsidRPr="000C342D">
        <w:t xml:space="preserve"> de l'intérieur.</w:t>
      </w:r>
    </w:p>
    <w:p w:rsidR="00BB166C" w:rsidRPr="000C342D" w:rsidRDefault="00BB166C" w:rsidP="000E01B8">
      <w:pPr>
        <w:pStyle w:val="Point0"/>
        <w:spacing w:before="0" w:line="240" w:lineRule="auto"/>
        <w:jc w:val="both"/>
      </w:pPr>
      <w:r w:rsidRPr="000C342D">
        <w:t>7.</w:t>
      </w:r>
      <w:r w:rsidRPr="000C342D">
        <w:tab/>
        <w:t xml:space="preserve">Les jouets conférant la mobilité à leurs utilisateurs doivent, dans la mesure du possible, comporter un système de freinage adapté au type de jouet et en rapport avec l'énergie cinétique </w:t>
      </w:r>
      <w:r w:rsidRPr="00317732">
        <w:t>générée</w:t>
      </w:r>
      <w:r w:rsidRPr="000C342D">
        <w:t xml:space="preserve"> par le jouet. Ce système doit être facilement </w:t>
      </w:r>
      <w:r w:rsidRPr="00317732">
        <w:t>actionné</w:t>
      </w:r>
      <w:r w:rsidRPr="000C342D">
        <w:t xml:space="preserve"> par l'utilisateur, sans risque d'éjection ou de blessures pour l'utilisateur ou pour des tiers.</w:t>
      </w:r>
    </w:p>
    <w:p w:rsidR="00BB166C" w:rsidRPr="000C342D" w:rsidRDefault="00BB166C" w:rsidP="000E01B8">
      <w:pPr>
        <w:pStyle w:val="Point0"/>
        <w:spacing w:before="0" w:line="240" w:lineRule="auto"/>
        <w:ind w:left="851" w:firstLine="0"/>
        <w:jc w:val="both"/>
      </w:pPr>
      <w:r w:rsidRPr="000C342D">
        <w:t>La vitesse maximale par construction des jouets porteurs électriques doit être limitée de manière à minimiser le risque de blessures.</w:t>
      </w:r>
    </w:p>
    <w:p w:rsidR="00BB166C" w:rsidRPr="000C342D" w:rsidRDefault="00BB166C" w:rsidP="000E01B8">
      <w:pPr>
        <w:pStyle w:val="Point0"/>
        <w:spacing w:before="0" w:line="240" w:lineRule="auto"/>
        <w:jc w:val="both"/>
      </w:pPr>
      <w:r w:rsidRPr="000C342D">
        <w:t>8.</w:t>
      </w:r>
      <w:r w:rsidRPr="000C342D">
        <w:tab/>
        <w:t xml:space="preserve">La forme et la composition des projectiles et l'énergie cinétique qu'ils peuvent </w:t>
      </w:r>
      <w:r w:rsidRPr="00631E5C">
        <w:t>générer</w:t>
      </w:r>
      <w:r w:rsidRPr="000C342D">
        <w:t xml:space="preserve"> lors de leur lancement par un jouet conçu à cette fin doivent être telles qu'il n'y ait pas de risque de blessures de l'utilisateur ou des tiers, compte tenu de la nature du jouet.</w:t>
      </w:r>
    </w:p>
    <w:p w:rsidR="00BB166C" w:rsidRPr="000C342D" w:rsidRDefault="00BB166C" w:rsidP="000E01B8">
      <w:pPr>
        <w:pStyle w:val="Point0"/>
        <w:spacing w:before="0" w:line="240" w:lineRule="auto"/>
        <w:jc w:val="both"/>
      </w:pPr>
      <w:r w:rsidRPr="000C342D">
        <w:t>9.</w:t>
      </w:r>
      <w:r w:rsidRPr="000C342D">
        <w:tab/>
        <w:t>Les jouets doivent être fabriqués de manière à garantir:</w:t>
      </w:r>
    </w:p>
    <w:p w:rsidR="00BB166C" w:rsidRPr="000C342D" w:rsidRDefault="00BB166C" w:rsidP="000E01B8">
      <w:pPr>
        <w:pStyle w:val="Point2"/>
        <w:spacing w:before="0" w:line="240" w:lineRule="auto"/>
        <w:ind w:left="1440"/>
        <w:jc w:val="both"/>
      </w:pPr>
      <w:r w:rsidRPr="000C342D">
        <w:t>a)</w:t>
      </w:r>
      <w:r w:rsidRPr="000C342D">
        <w:tab/>
        <w:t>que les températures maximale et minimale de toute surface accessible ne cause pas de blessures lors d'un contact, et</w:t>
      </w:r>
    </w:p>
    <w:p w:rsidR="00BB166C" w:rsidRPr="000C342D" w:rsidRDefault="00BB166C" w:rsidP="000E01B8">
      <w:pPr>
        <w:pStyle w:val="Point2"/>
        <w:spacing w:before="0" w:line="240" w:lineRule="auto"/>
        <w:ind w:left="1440"/>
        <w:jc w:val="both"/>
      </w:pPr>
      <w:r w:rsidRPr="000C342D">
        <w:t>b)</w:t>
      </w:r>
      <w:r w:rsidRPr="000C342D">
        <w:tab/>
        <w:t>que les liquides, vapeurs et gaz contenus dans les jouets n'atteignent pas des températures ou pressions telles que leur échappement, dû à des raisons autres que celles indispensables au bon fonctionnement du jouet, soit susceptible de provoquer des brûlures ou autres blessures.</w:t>
      </w:r>
    </w:p>
    <w:p w:rsidR="00BB166C" w:rsidRPr="000C342D" w:rsidRDefault="00BB166C" w:rsidP="000E01B8">
      <w:pPr>
        <w:pStyle w:val="Point0"/>
        <w:spacing w:before="0" w:line="240" w:lineRule="auto"/>
        <w:jc w:val="both"/>
      </w:pPr>
      <w:r w:rsidRPr="000C342D">
        <w:t>10.</w:t>
      </w:r>
      <w:r w:rsidRPr="000C342D">
        <w:tab/>
        <w:t xml:space="preserve">Les jouets conçus pour émettre un son doivent être conçus et fabriqués, en ce qui concerne les valeurs </w:t>
      </w:r>
      <w:r>
        <w:t>maximales pour les impulsions sonores et les sons prolongés,</w:t>
      </w:r>
      <w:r w:rsidRPr="000C342D">
        <w:t xml:space="preserve"> de telle que sorte que le son qu'ils émettent ne puisse endommager l'ouïe des enfants.</w:t>
      </w:r>
    </w:p>
    <w:p w:rsidR="00BB166C" w:rsidRPr="000C342D" w:rsidRDefault="00BB166C" w:rsidP="000E01B8">
      <w:pPr>
        <w:pStyle w:val="Point0"/>
        <w:spacing w:before="0" w:after="240" w:line="240" w:lineRule="auto"/>
        <w:ind w:left="851" w:hanging="851"/>
        <w:jc w:val="both"/>
      </w:pPr>
      <w:r w:rsidRPr="000C342D">
        <w:t>11.</w:t>
      </w:r>
      <w:r w:rsidRPr="000C342D">
        <w:tab/>
        <w:t xml:space="preserve">Les jouets d'activités sont fabriqués de manière à réduire, dans la mesure du possible, le risque que des parties du corps soient écrasées ou coincées, ou qu'un vêtement soit happé, ainsi que le risque de chute, d'impacts et de noyade. En particulier, toute surface de ces jouets accessible à un ou plusieurs enfants doit être conçue pour supporter leur </w:t>
      </w:r>
      <w:r w:rsidRPr="00631E5C">
        <w:t>charge</w:t>
      </w:r>
      <w:r w:rsidRPr="000C342D">
        <w:t>.</w:t>
      </w:r>
    </w:p>
    <w:p w:rsidR="00BB166C" w:rsidRPr="000C342D" w:rsidRDefault="00BB166C" w:rsidP="000E01B8">
      <w:pPr>
        <w:pStyle w:val="Point0"/>
        <w:spacing w:before="0" w:line="240" w:lineRule="auto"/>
        <w:outlineLvl w:val="0"/>
        <w:rPr>
          <w:b/>
        </w:rPr>
      </w:pPr>
      <w:r w:rsidRPr="000C342D">
        <w:rPr>
          <w:b/>
        </w:rPr>
        <w:t>II.</w:t>
      </w:r>
      <w:r w:rsidRPr="000C342D">
        <w:rPr>
          <w:b/>
        </w:rPr>
        <w:tab/>
        <w:t>Inflammabilité</w:t>
      </w:r>
    </w:p>
    <w:p w:rsidR="00BB166C" w:rsidRPr="000C342D" w:rsidRDefault="00BB166C" w:rsidP="000E01B8">
      <w:pPr>
        <w:pStyle w:val="Point0"/>
        <w:spacing w:before="0" w:line="240" w:lineRule="auto"/>
        <w:jc w:val="both"/>
      </w:pPr>
      <w:r w:rsidRPr="000C342D">
        <w:t>1.</w:t>
      </w:r>
      <w:r w:rsidRPr="000C342D">
        <w:tab/>
        <w:t>Les jouets ne doivent pas constituer un élément inflammable dangereux dans l'environnement de l'enfant. Ils doivent, par conséquent, se composer de matériaux remplissant une ou plusieurs des conditions suivantes:</w:t>
      </w:r>
    </w:p>
    <w:p w:rsidR="00BB166C" w:rsidRPr="000C342D" w:rsidRDefault="00BB166C" w:rsidP="000E01B8">
      <w:pPr>
        <w:pStyle w:val="Point2"/>
        <w:spacing w:before="0" w:line="240" w:lineRule="auto"/>
        <w:ind w:left="1440"/>
        <w:jc w:val="both"/>
      </w:pPr>
      <w:r w:rsidRPr="000C342D">
        <w:t>a)</w:t>
      </w:r>
      <w:r w:rsidRPr="000C342D">
        <w:tab/>
        <w:t>ne pas brûler sous l'action directe d'une flamme, d'une étincelle ou de tout autre foyer potentiel d'incendie</w:t>
      </w:r>
      <w:r>
        <w:t> ;</w:t>
      </w:r>
    </w:p>
    <w:p w:rsidR="00BB166C" w:rsidRPr="000C342D" w:rsidRDefault="00BB166C" w:rsidP="000E01B8">
      <w:pPr>
        <w:pStyle w:val="Point2"/>
        <w:spacing w:before="0" w:line="240" w:lineRule="auto"/>
        <w:ind w:left="1440"/>
        <w:jc w:val="both"/>
      </w:pPr>
      <w:r w:rsidRPr="000C342D">
        <w:t>b)</w:t>
      </w:r>
      <w:r w:rsidRPr="000C342D">
        <w:tab/>
        <w:t>être difficilement inflammables (la flamme s'éteint dès qu'il n'y a plus de cause d'incendie)</w:t>
      </w:r>
      <w:r>
        <w:t> ;</w:t>
      </w:r>
    </w:p>
    <w:p w:rsidR="00BB166C" w:rsidRPr="000C342D" w:rsidRDefault="00BB166C" w:rsidP="000E01B8">
      <w:pPr>
        <w:pStyle w:val="Point2"/>
        <w:spacing w:before="0" w:line="240" w:lineRule="auto"/>
        <w:ind w:left="1440"/>
        <w:jc w:val="both"/>
      </w:pPr>
      <w:r w:rsidRPr="000C342D">
        <w:t>c)</w:t>
      </w:r>
      <w:r w:rsidRPr="000C342D">
        <w:tab/>
        <w:t>s'ils s'enflamment, brûler lentement et présenter une faible vitesse de propagation de la flamme</w:t>
      </w:r>
      <w:r>
        <w:t> ;</w:t>
      </w:r>
    </w:p>
    <w:p w:rsidR="00BB166C" w:rsidRPr="000C342D" w:rsidRDefault="00BB166C" w:rsidP="000E01B8">
      <w:pPr>
        <w:pStyle w:val="Point2"/>
        <w:spacing w:before="0" w:line="240" w:lineRule="auto"/>
        <w:ind w:left="1440"/>
        <w:jc w:val="both"/>
      </w:pPr>
      <w:r w:rsidRPr="000C342D">
        <w:t>d)</w:t>
      </w:r>
      <w:r w:rsidRPr="000C342D">
        <w:tab/>
        <w:t>être conçus, quelle que soit la composition chimique du jouet, de manière à en retarder mécaniquement le processus de combustion.</w:t>
      </w:r>
    </w:p>
    <w:p w:rsidR="00BB166C" w:rsidRPr="000C342D" w:rsidRDefault="00BB166C" w:rsidP="000E01B8">
      <w:pPr>
        <w:pStyle w:val="Point0"/>
        <w:spacing w:before="0" w:line="240" w:lineRule="auto"/>
        <w:ind w:left="851" w:firstLine="0"/>
        <w:jc w:val="both"/>
      </w:pPr>
      <w:r w:rsidRPr="000C342D">
        <w:t>Ces matériaux combustibles ne doivent pas constituer un risque de propagation du feu aux autres matériaux utilisés dans le jouet.</w:t>
      </w:r>
    </w:p>
    <w:p w:rsidR="00BB166C" w:rsidRPr="000C342D" w:rsidRDefault="00BB166C" w:rsidP="000E01B8">
      <w:pPr>
        <w:pStyle w:val="Point0"/>
        <w:spacing w:before="0" w:line="240" w:lineRule="auto"/>
        <w:jc w:val="both"/>
      </w:pPr>
      <w:r w:rsidRPr="000C342D">
        <w:t>2.</w:t>
      </w:r>
      <w:r w:rsidRPr="000C342D">
        <w:tab/>
        <w:t>Les jouets qui, pour des raisons indispensables à leur fonctionnement, contiennent des substances ou des mélanges répondant aux critères de classification énoncés à la section 1 de l'appendice B, et notamment des matériaux et équipements pour des expériences chimiques, l'assemblage de maquettes, les moulages plastiques ou céramiques, l'émaillage, la photographie ou des activités similaires, ne doivent pas contenir, en tant que tels, des substances ou des mélanges qui puissent devenir inflammables suite à la perte de composants volatils non inflammables.</w:t>
      </w:r>
    </w:p>
    <w:p w:rsidR="00BB166C" w:rsidRPr="000C342D" w:rsidRDefault="00BB166C" w:rsidP="000E01B8">
      <w:pPr>
        <w:pStyle w:val="Point0"/>
        <w:spacing w:before="0" w:line="240" w:lineRule="auto"/>
        <w:jc w:val="both"/>
      </w:pPr>
      <w:r w:rsidRPr="000C342D">
        <w:t>3.</w:t>
      </w:r>
      <w:r w:rsidRPr="000C342D">
        <w:tab/>
        <w:t>Les jouets autres que les amorces à percussion pour jouets ne doivent pas être explosifs ni contenir d</w:t>
      </w:r>
      <w:r>
        <w:t>’</w:t>
      </w:r>
      <w:r w:rsidRPr="000C342D">
        <w:t>éléments ou substances susceptibles d'exploser, en cas d'utilisation ou d'usage prévu à l'article 10, paragraphe 2, premier alinéa.</w:t>
      </w:r>
    </w:p>
    <w:p w:rsidR="00BB166C" w:rsidRPr="000C342D" w:rsidRDefault="00BB166C" w:rsidP="000E01B8">
      <w:pPr>
        <w:pStyle w:val="Point0"/>
        <w:spacing w:before="0" w:line="240" w:lineRule="auto"/>
        <w:jc w:val="both"/>
      </w:pPr>
      <w:r w:rsidRPr="000C342D">
        <w:t>4.</w:t>
      </w:r>
      <w:r w:rsidRPr="000C342D">
        <w:tab/>
        <w:t>Les jouets, et notamment les jeux et les jouets chimiques, ne doivent pas contenir, en tant que tels, des substances ou des mélanges qui:</w:t>
      </w:r>
    </w:p>
    <w:p w:rsidR="00BB166C" w:rsidRPr="000C342D" w:rsidRDefault="00BB166C" w:rsidP="000E01B8">
      <w:pPr>
        <w:pStyle w:val="Point2"/>
        <w:spacing w:before="0" w:line="240" w:lineRule="auto"/>
        <w:ind w:left="1440"/>
        <w:jc w:val="both"/>
      </w:pPr>
      <w:r w:rsidRPr="000C342D">
        <w:t>a)</w:t>
      </w:r>
      <w:r w:rsidRPr="000C342D">
        <w:tab/>
        <w:t>lorsqu'</w:t>
      </w:r>
      <w:r>
        <w:t>ils</w:t>
      </w:r>
      <w:r w:rsidRPr="000C342D">
        <w:t xml:space="preserve"> sont </w:t>
      </w:r>
      <w:r w:rsidRPr="00D5021E">
        <w:t>associés</w:t>
      </w:r>
      <w:r w:rsidRPr="000C342D">
        <w:t>, sont susceptibles d'exploser – par réaction chimique ou par échauffement</w:t>
      </w:r>
      <w:r>
        <w:t> ;</w:t>
      </w:r>
    </w:p>
    <w:p w:rsidR="00BB166C" w:rsidRPr="000C342D" w:rsidRDefault="00BB166C" w:rsidP="000E01B8">
      <w:pPr>
        <w:pStyle w:val="Point2"/>
        <w:spacing w:before="0" w:line="240" w:lineRule="auto"/>
        <w:ind w:left="1440"/>
        <w:jc w:val="both"/>
      </w:pPr>
      <w:r w:rsidRPr="000C342D">
        <w:t>b)</w:t>
      </w:r>
      <w:r w:rsidRPr="000C342D">
        <w:tab/>
        <w:t>sont susceptibles d'exploser lorsqu'</w:t>
      </w:r>
      <w:r>
        <w:t>i</w:t>
      </w:r>
      <w:r w:rsidRPr="000C342D">
        <w:t>ls sont mélangées avec des substances oxydantes, ou qui</w:t>
      </w:r>
    </w:p>
    <w:p w:rsidR="00BB166C" w:rsidRPr="000C342D" w:rsidRDefault="00BB166C" w:rsidP="000E01B8">
      <w:pPr>
        <w:pStyle w:val="Point2"/>
        <w:spacing w:before="0" w:after="240" w:line="240" w:lineRule="auto"/>
        <w:ind w:left="1440"/>
        <w:jc w:val="both"/>
      </w:pPr>
      <w:r w:rsidRPr="000C342D">
        <w:t>c)</w:t>
      </w:r>
      <w:r w:rsidRPr="000C342D">
        <w:tab/>
        <w:t>contiennent des composants volatils inflammables dans l'air et susceptibles de former des mélanges vapeurs/air inflammables ou explosifs.</w:t>
      </w:r>
    </w:p>
    <w:p w:rsidR="00BB166C" w:rsidRPr="000C342D" w:rsidRDefault="00BB166C" w:rsidP="000E01B8">
      <w:pPr>
        <w:pStyle w:val="Point0"/>
        <w:spacing w:before="0" w:line="240" w:lineRule="auto"/>
        <w:outlineLvl w:val="0"/>
        <w:rPr>
          <w:b/>
        </w:rPr>
      </w:pPr>
      <w:r w:rsidRPr="000C342D">
        <w:rPr>
          <w:b/>
        </w:rPr>
        <w:t>III.</w:t>
      </w:r>
      <w:r w:rsidRPr="000C342D">
        <w:rPr>
          <w:b/>
        </w:rPr>
        <w:tab/>
        <w:t>Propriétés chimiques</w:t>
      </w:r>
    </w:p>
    <w:p w:rsidR="00BB166C" w:rsidRPr="000C342D" w:rsidRDefault="00BB166C" w:rsidP="000E01B8">
      <w:pPr>
        <w:pStyle w:val="Point0"/>
        <w:spacing w:before="0" w:line="240" w:lineRule="auto"/>
        <w:jc w:val="both"/>
      </w:pPr>
      <w:r w:rsidRPr="000C342D">
        <w:t>1.</w:t>
      </w:r>
      <w:r w:rsidRPr="000C342D">
        <w:tab/>
        <w:t>Les jouets doivent être conçus et fabriqués de manière à ne présenter aucun risque d'effet</w:t>
      </w:r>
      <w:r>
        <w:t xml:space="preserve"> </w:t>
      </w:r>
      <w:r w:rsidRPr="00D5021E">
        <w:t>nuisible</w:t>
      </w:r>
      <w:r w:rsidRPr="000C342D">
        <w:t xml:space="preserve"> sur la santé humaine du à l'exposition à des substances ou mélanges chimiques qui entrent dans la composition des jouets ou qui y sont présents, lorsque l'utilisation de ces jouets est celle spécifiée à l'article 10, paragraphe 2, premier alinéa.</w:t>
      </w:r>
    </w:p>
    <w:p w:rsidR="00BB166C" w:rsidRPr="000C342D" w:rsidRDefault="00BB166C" w:rsidP="000E01B8">
      <w:pPr>
        <w:pStyle w:val="Point0"/>
        <w:spacing w:before="0" w:line="240" w:lineRule="auto"/>
        <w:ind w:left="851" w:firstLine="0"/>
        <w:jc w:val="both"/>
      </w:pPr>
      <w:r w:rsidRPr="000C342D">
        <w:t>Les jouets doivent être conformes à la législation communautaire applicable relative à certaines catégories de produits ou aux restrictions d'utilisation de certaines substances et mélanges.</w:t>
      </w:r>
    </w:p>
    <w:p w:rsidR="00BB166C" w:rsidRPr="00AD77A0" w:rsidRDefault="00BB166C" w:rsidP="000E01B8">
      <w:pPr>
        <w:pStyle w:val="Point0"/>
        <w:spacing w:before="0" w:line="240" w:lineRule="auto"/>
        <w:jc w:val="both"/>
      </w:pPr>
      <w:r>
        <w:t>2.</w:t>
      </w:r>
      <w:r>
        <w:tab/>
      </w:r>
      <w:r w:rsidRPr="000C342D">
        <w:t xml:space="preserve">Les jouets qui sont </w:t>
      </w:r>
      <w:r w:rsidRPr="00D5021E">
        <w:t>eux-mêmes</w:t>
      </w:r>
      <w:r w:rsidRPr="00D5021E" w:rsidDel="00D5021E">
        <w:t xml:space="preserve"> </w:t>
      </w:r>
      <w:r w:rsidRPr="000C342D">
        <w:t>des substances ou des mélanges doivent également se conformer</w:t>
      </w:r>
      <w:r>
        <w:t> :</w:t>
      </w:r>
    </w:p>
    <w:p w:rsidR="00BB166C" w:rsidRPr="00AD77A0" w:rsidRDefault="00BB166C" w:rsidP="000E01B8">
      <w:pPr>
        <w:pStyle w:val="Point2"/>
        <w:spacing w:before="0" w:line="240" w:lineRule="auto"/>
        <w:ind w:left="1440"/>
        <w:jc w:val="both"/>
      </w:pPr>
      <w:r w:rsidRPr="00AD77A0">
        <w:t xml:space="preserve"> </w:t>
      </w:r>
      <w:r>
        <w:t>a)</w:t>
      </w:r>
      <w:r>
        <w:tab/>
        <w:t>à</w:t>
      </w:r>
      <w:r w:rsidRPr="00AD77A0">
        <w:t xml:space="preserve"> la loi modifiée du 15 juin 1994 relative à la classification, l’emballage et l’étiquetage des substances dangereuses - modifiant la loi du 11 mars 1981 portant réglementation de la mise sur le marché et de l’emploi de certaines substances et préparations dangereuses et les règlements pris en son exécution en vue de la transposition de la législation communautaire concernant </w:t>
      </w:r>
      <w:r>
        <w:t>la classification, l’emballage et</w:t>
      </w:r>
      <w:r w:rsidRPr="00AD77A0">
        <w:t xml:space="preserve"> l’étiquetage des substances dangereuses ;</w:t>
      </w:r>
    </w:p>
    <w:p w:rsidR="00BB166C" w:rsidRPr="00AD77A0" w:rsidRDefault="00BB166C" w:rsidP="000E01B8">
      <w:pPr>
        <w:pStyle w:val="Point2"/>
        <w:spacing w:before="0" w:line="240" w:lineRule="auto"/>
        <w:ind w:left="1440"/>
        <w:jc w:val="both"/>
      </w:pPr>
      <w:r>
        <w:t>b)</w:t>
      </w:r>
      <w:r>
        <w:tab/>
      </w:r>
      <w:r w:rsidRPr="00AD77A0">
        <w:t>à la loi du 27 avril 2009 concernant l’enregistrement, l’évaluation et l’autorisation des substances chimiques, ainsi que les restrictions applicables à ces ;</w:t>
      </w:r>
    </w:p>
    <w:p w:rsidR="00BB166C" w:rsidRPr="00AD77A0" w:rsidRDefault="00BB166C" w:rsidP="000E01B8">
      <w:pPr>
        <w:pStyle w:val="Point2"/>
        <w:spacing w:before="0" w:line="240" w:lineRule="auto"/>
        <w:ind w:left="1440"/>
        <w:jc w:val="both"/>
      </w:pPr>
      <w:r>
        <w:t>c)</w:t>
      </w:r>
      <w:r>
        <w:tab/>
      </w:r>
      <w:r w:rsidRPr="00AD77A0">
        <w:t>au règlement (CE) n° 1272/2008 du Parlement et du Conseil du 16 décembre 2008 relatif à la classification, à l'emballage et à l'étiquetage des substances et mélanges, selon le cas échéant.</w:t>
      </w:r>
    </w:p>
    <w:p w:rsidR="00BB166C" w:rsidRPr="000C342D" w:rsidRDefault="00BB166C" w:rsidP="000E01B8">
      <w:pPr>
        <w:pStyle w:val="Point0"/>
        <w:spacing w:before="0" w:line="240" w:lineRule="auto"/>
        <w:jc w:val="both"/>
      </w:pPr>
      <w:r w:rsidRPr="00AD77A0">
        <w:t xml:space="preserve"> </w:t>
      </w:r>
      <w:r>
        <w:t>3.</w:t>
      </w:r>
      <w:r>
        <w:tab/>
      </w:r>
      <w:r w:rsidRPr="00AD77A0">
        <w:t xml:space="preserve">Sans </w:t>
      </w:r>
      <w:r w:rsidRPr="000C342D">
        <w:t xml:space="preserve">préjudice des restrictions </w:t>
      </w:r>
      <w:r w:rsidRPr="00D5021E">
        <w:t>visées</w:t>
      </w:r>
      <w:r w:rsidRPr="000C342D">
        <w:t xml:space="preserve"> au point 1, second alinéa, les substances classées comme étant cancérogènes, mutagènes ou toxiques pour la reproduction (CMR), </w:t>
      </w:r>
      <w:r w:rsidRPr="00AD77A0">
        <w:t>dans les catégories 1A, 1B ou 2 du règlement (CE) n° 1272/2008</w:t>
      </w:r>
      <w:r>
        <w:t>,</w:t>
      </w:r>
      <w:r w:rsidRPr="000C342D">
        <w:t xml:space="preserve"> ne doivent pas être utilisées dans les jouets et elles ne doivent pas entrer dans la composition de jouets ou de parties de jouets micro-structurellement distinctes.</w:t>
      </w:r>
    </w:p>
    <w:p w:rsidR="00BB166C" w:rsidRPr="000C342D" w:rsidRDefault="00BB166C" w:rsidP="000E01B8">
      <w:pPr>
        <w:pStyle w:val="Point0"/>
        <w:spacing w:before="0" w:line="240" w:lineRule="auto"/>
        <w:jc w:val="both"/>
      </w:pPr>
      <w:r w:rsidRPr="000C342D">
        <w:t>4.</w:t>
      </w:r>
      <w:r w:rsidRPr="000C342D">
        <w:tab/>
        <w:t>Par dérogation au point 3, les substances ou mélanges classés CMR dans les catégories visées à la section 3 de l'appendice B peuvent être utilisés dans les jouets et entrer dans la composition de jouets ou parties de jouets micro-structurellement distinctes, sous réserve que l'une des conditions suivantes soit satisfaite</w:t>
      </w:r>
      <w:r>
        <w:t> :</w:t>
      </w:r>
    </w:p>
    <w:p w:rsidR="00BB166C" w:rsidRPr="000C342D" w:rsidRDefault="00BB166C" w:rsidP="000E01B8">
      <w:pPr>
        <w:pStyle w:val="Point2"/>
        <w:spacing w:before="0" w:line="240" w:lineRule="auto"/>
        <w:ind w:left="1440"/>
        <w:jc w:val="both"/>
      </w:pPr>
      <w:r w:rsidRPr="000C342D">
        <w:t>a)</w:t>
      </w:r>
      <w:r w:rsidRPr="000C342D">
        <w:tab/>
        <w:t xml:space="preserve">ces substances et mélanges sont présents à des concentrations individuelles égales ou inférieures aux concentrations définies dans les actes </w:t>
      </w:r>
      <w:r w:rsidRPr="00AD77A0">
        <w:t>communautaires v</w:t>
      </w:r>
      <w:r w:rsidRPr="000C342D">
        <w:t>isés à la section 2 de l'appendice B pour la classification des mélanges contenant ces substances</w:t>
      </w:r>
      <w:r>
        <w:t> ;</w:t>
      </w:r>
    </w:p>
    <w:p w:rsidR="00BB166C" w:rsidRPr="000C342D" w:rsidRDefault="00BB166C" w:rsidP="000E01B8">
      <w:pPr>
        <w:pStyle w:val="Point2"/>
        <w:spacing w:before="0" w:line="240" w:lineRule="auto"/>
        <w:ind w:left="1440"/>
        <w:jc w:val="both"/>
      </w:pPr>
      <w:r w:rsidRPr="000C342D">
        <w:t>b)</w:t>
      </w:r>
      <w:r w:rsidRPr="000C342D">
        <w:tab/>
        <w:t>ces substances et mélanges sont totalement inaccessibles aux enfants, y compris par inhalation, dès lors que le</w:t>
      </w:r>
      <w:r>
        <w:t>s</w:t>
      </w:r>
      <w:r w:rsidRPr="000C342D">
        <w:t xml:space="preserve"> jouet</w:t>
      </w:r>
      <w:r>
        <w:t>s</w:t>
      </w:r>
      <w:r w:rsidRPr="000C342D">
        <w:t xml:space="preserve"> </w:t>
      </w:r>
      <w:r>
        <w:t>sont</w:t>
      </w:r>
      <w:r w:rsidRPr="000C342D">
        <w:t xml:space="preserve"> utilisé</w:t>
      </w:r>
      <w:r>
        <w:t>s</w:t>
      </w:r>
      <w:r w:rsidRPr="000C342D">
        <w:t xml:space="preserve"> comme indiqué à l'article 10, paragraphe 2, premier alinéa</w:t>
      </w:r>
      <w:r>
        <w:t> ;</w:t>
      </w:r>
    </w:p>
    <w:p w:rsidR="00BB166C" w:rsidRPr="00C14EE8" w:rsidRDefault="00BB166C" w:rsidP="000E01B8">
      <w:pPr>
        <w:pStyle w:val="Point2"/>
        <w:spacing w:before="0" w:line="240" w:lineRule="auto"/>
        <w:ind w:left="1440"/>
        <w:jc w:val="both"/>
      </w:pPr>
      <w:r w:rsidRPr="00C14EE8">
        <w:t>c)</w:t>
      </w:r>
      <w:r w:rsidRPr="00C14EE8">
        <w:tab/>
        <w:t>une décision conforme à l'article 46, paragraphe 3, a été prise qui autorise la substance ou le mélange et l'utilisation de ceux-ci, et la substance, le mélange et leurs utilisations autorisées ont été repris dans l'appendice A.</w:t>
      </w:r>
    </w:p>
    <w:p w:rsidR="00BB166C" w:rsidRPr="00C14EE8" w:rsidRDefault="00BB166C" w:rsidP="000E01B8">
      <w:pPr>
        <w:pStyle w:val="Point0"/>
        <w:spacing w:before="0" w:line="240" w:lineRule="auto"/>
        <w:ind w:left="851" w:firstLine="0"/>
        <w:jc w:val="both"/>
      </w:pPr>
      <w:r w:rsidRPr="00C14EE8">
        <w:tab/>
        <w:t>Cette décision peut être prise à condition:</w:t>
      </w:r>
    </w:p>
    <w:p w:rsidR="00BB166C" w:rsidRPr="00C14EE8" w:rsidRDefault="00BB166C" w:rsidP="000E01B8">
      <w:pPr>
        <w:pStyle w:val="Point3"/>
        <w:spacing w:before="0" w:line="240" w:lineRule="auto"/>
        <w:ind w:left="1980"/>
        <w:jc w:val="both"/>
      </w:pPr>
      <w:r w:rsidRPr="00C14EE8">
        <w:t>i)</w:t>
      </w:r>
      <w:r w:rsidRPr="00C14EE8">
        <w:tab/>
        <w:t>que l'utilisation de la substance ou du mélange ait été analysée par le comité scientifique compétent, qui l'a jugée sûre, notamment du point de vue de l'exposition</w:t>
      </w:r>
      <w:r>
        <w:t> ;</w:t>
      </w:r>
    </w:p>
    <w:p w:rsidR="00BB166C" w:rsidRPr="00C14EE8" w:rsidRDefault="00BB166C" w:rsidP="000E01B8">
      <w:pPr>
        <w:pStyle w:val="Point3"/>
        <w:spacing w:before="0" w:line="240" w:lineRule="auto"/>
        <w:ind w:left="1980"/>
        <w:jc w:val="both"/>
      </w:pPr>
      <w:r w:rsidRPr="00C14EE8">
        <w:t>ii)</w:t>
      </w:r>
      <w:r w:rsidRPr="00C14EE8">
        <w:tab/>
        <w:t>qu'il ressorte d'une analyse des solutions de remplacement qu'il n'existe aucune autre substance ou mélange de substitution adéquat, et</w:t>
      </w:r>
    </w:p>
    <w:p w:rsidR="00BB166C" w:rsidRPr="000E1F58" w:rsidRDefault="00BB166C" w:rsidP="000E01B8">
      <w:pPr>
        <w:pStyle w:val="Point3"/>
        <w:spacing w:before="0" w:line="240" w:lineRule="auto"/>
        <w:ind w:left="1980"/>
        <w:jc w:val="both"/>
      </w:pPr>
      <w:r w:rsidRPr="00C14EE8">
        <w:t>iii)</w:t>
      </w:r>
      <w:r w:rsidRPr="00C14EE8">
        <w:tab/>
        <w:t xml:space="preserve">que l'utilisation de la substance ou du mélange dans les produits de consommation ne soit pas interdite aux </w:t>
      </w:r>
      <w:r w:rsidRPr="000E1F58">
        <w:t>termes du règlement (CE) n° 1907/2006.</w:t>
      </w:r>
    </w:p>
    <w:p w:rsidR="00BB166C" w:rsidRPr="00C14EE8" w:rsidRDefault="00BB166C" w:rsidP="000E01B8">
      <w:pPr>
        <w:pStyle w:val="QuotedText"/>
        <w:spacing w:before="0" w:line="240" w:lineRule="auto"/>
        <w:jc w:val="both"/>
      </w:pPr>
      <w:r w:rsidRPr="00C14EE8">
        <w:t xml:space="preserve">La </w:t>
      </w:r>
      <w:r>
        <w:t xml:space="preserve">Commission européenne </w:t>
      </w:r>
      <w:r w:rsidRPr="00C14EE8">
        <w:t>charge le comité scientifique compétent de réévaluer ces substances ou mélanges dès que des doutes surgissent quant à leur sûreté et au moins tous les cinq ans à partir de la date à laquelle une décision a été prise en vertu de l'article 46, paragraphe 3.</w:t>
      </w:r>
    </w:p>
    <w:p w:rsidR="00BB166C" w:rsidRPr="000C342D" w:rsidRDefault="00BB166C" w:rsidP="000E01B8">
      <w:pPr>
        <w:pStyle w:val="Point0"/>
        <w:spacing w:before="0" w:line="240" w:lineRule="auto"/>
        <w:jc w:val="both"/>
      </w:pPr>
      <w:r w:rsidRPr="00C14EE8">
        <w:t>5.</w:t>
      </w:r>
      <w:r w:rsidRPr="00C14EE8">
        <w:tab/>
        <w:t>Par</w:t>
      </w:r>
      <w:r w:rsidRPr="000C342D">
        <w:t xml:space="preserve"> dérogation au point 3, les substances ou mélanges classés CMR dans les catégories définies à la section 4 de l'appendice B peuvent être utilisés dans les jouets, et entrer dans la composition de jouets ou de parties de jouets micro-structurellement distinctes, à condition</w:t>
      </w:r>
      <w:r>
        <w:t> :</w:t>
      </w:r>
    </w:p>
    <w:p w:rsidR="00BB166C" w:rsidRPr="000C342D" w:rsidRDefault="00BB166C" w:rsidP="000E01B8">
      <w:pPr>
        <w:pStyle w:val="Point2"/>
        <w:spacing w:before="0" w:line="240" w:lineRule="auto"/>
        <w:ind w:left="1440"/>
        <w:jc w:val="both"/>
      </w:pPr>
      <w:r w:rsidRPr="000C342D">
        <w:t>a)</w:t>
      </w:r>
      <w:r w:rsidRPr="000C342D">
        <w:tab/>
        <w:t>que ces substances et mélanges soient présents à des concentrations individuelles égales ou inférieures aux concentrations correspondantes fixées dans les actes communautaires visés à la section 2 de l'appendice B pour la classification des mélanges contenant ces substances</w:t>
      </w:r>
      <w:r>
        <w:t> ;</w:t>
      </w:r>
    </w:p>
    <w:p w:rsidR="00BB166C" w:rsidRPr="000C342D" w:rsidRDefault="00BB166C" w:rsidP="000E01B8">
      <w:pPr>
        <w:pStyle w:val="Point2"/>
        <w:spacing w:before="0" w:line="240" w:lineRule="auto"/>
        <w:ind w:left="1440"/>
        <w:jc w:val="both"/>
      </w:pPr>
      <w:r w:rsidRPr="000C342D">
        <w:t>b)</w:t>
      </w:r>
      <w:r w:rsidRPr="000C342D">
        <w:tab/>
        <w:t>que ces substances et mélanges soient inaccessibles aux enfants, sous quelque forme que ce soit, notamment l'inhalation, dès lors que le jouet est utilisé comme indiqué au premier alinéa de l'article 10, paragraphe 2, ou</w:t>
      </w:r>
    </w:p>
    <w:p w:rsidR="00BB166C" w:rsidRDefault="00BB166C" w:rsidP="000E01B8">
      <w:pPr>
        <w:pStyle w:val="Point2"/>
        <w:spacing w:before="0" w:line="240" w:lineRule="auto"/>
        <w:ind w:left="1440"/>
        <w:jc w:val="both"/>
      </w:pPr>
      <w:r w:rsidRPr="005004A1">
        <w:t>c)</w:t>
      </w:r>
      <w:r w:rsidRPr="005004A1">
        <w:tab/>
        <w:t xml:space="preserve">qu'une décision conforme </w:t>
      </w:r>
      <w:r>
        <w:t>au paragraphe suivant</w:t>
      </w:r>
      <w:r w:rsidRPr="005004A1">
        <w:t xml:space="preserve">, </w:t>
      </w:r>
      <w:r>
        <w:t>ait</w:t>
      </w:r>
      <w:r w:rsidRPr="005004A1">
        <w:t xml:space="preserve"> été prise pour</w:t>
      </w:r>
      <w:r w:rsidRPr="000C342D">
        <w:t xml:space="preserve"> autoriser la substance ou le mélange et leurs usages, et que la substance ou le mélange et leurs usages autorisés figurent sur la liste de l'appendice</w:t>
      </w:r>
      <w:r>
        <w:t xml:space="preserve"> </w:t>
      </w:r>
      <w:r w:rsidRPr="000C342D">
        <w:t>A.</w:t>
      </w:r>
    </w:p>
    <w:p w:rsidR="00BB166C" w:rsidRDefault="00BB166C" w:rsidP="000E01B8">
      <w:pPr>
        <w:pStyle w:val="Point2"/>
        <w:spacing w:before="0" w:line="240" w:lineRule="auto"/>
        <w:ind w:left="1440"/>
        <w:jc w:val="both"/>
      </w:pPr>
      <w:r>
        <w:tab/>
      </w:r>
      <w:r w:rsidRPr="00A45E27">
        <w:t xml:space="preserve">La Commission peut décider de l'utilisation dans les jouets de substances ou de </w:t>
      </w:r>
      <w:r w:rsidRPr="00E616B4">
        <w:t xml:space="preserve">mélanges classés </w:t>
      </w:r>
      <w:r w:rsidRPr="00A45E27">
        <w:t xml:space="preserve">comme étant cancérogènes, mutagènes ou toxiques pour la reproduction et appartenant aux catégories </w:t>
      </w:r>
      <w:r>
        <w:t xml:space="preserve">visées à la section 5 de l'appendice B de l'annexe </w:t>
      </w:r>
      <w:r w:rsidRPr="00E616B4">
        <w:t xml:space="preserve">II de la présente </w:t>
      </w:r>
      <w:r>
        <w:t>loi</w:t>
      </w:r>
      <w:r w:rsidRPr="00E616B4">
        <w:t>, en v</w:t>
      </w:r>
      <w:r>
        <w:t xml:space="preserve">ertu de la partie 3 de l'annexe </w:t>
      </w:r>
      <w:r w:rsidRPr="00E616B4">
        <w:t xml:space="preserve">VI du règlement (CE) n° 1272/2008 du Parlement européen et du Conseil du 16 décembre 2008 sur la classification, l'étiquetage et l'emballage des substances et mélanges et qui ont été évaluées par le comité scientifique </w:t>
      </w:r>
      <w:r>
        <w:t xml:space="preserve">concerné et modifier l'appendice </w:t>
      </w:r>
      <w:r w:rsidRPr="00E616B4">
        <w:t>A de l'annexe</w:t>
      </w:r>
      <w:r>
        <w:t xml:space="preserve"> II de la présente directive, en </w:t>
      </w:r>
      <w:r w:rsidRPr="00E616B4">
        <w:t>conséquence.</w:t>
      </w:r>
      <w:r>
        <w:t xml:space="preserve"> </w:t>
      </w:r>
      <w:r w:rsidRPr="00A45E27">
        <w:t xml:space="preserve">Ces mesures, qui visent à modifier des éléments non essentiels de la présente </w:t>
      </w:r>
      <w:r>
        <w:t>loi</w:t>
      </w:r>
      <w:r w:rsidRPr="00A45E27">
        <w:t xml:space="preserve"> en la complétant, sont arrêtées conformément à la procédure de réglementation </w:t>
      </w:r>
      <w:r>
        <w:t>avec contrôle suivant :</w:t>
      </w:r>
    </w:p>
    <w:p w:rsidR="00BB166C" w:rsidRDefault="00BB166C" w:rsidP="000E01B8">
      <w:pPr>
        <w:pStyle w:val="Point2"/>
        <w:spacing w:before="0" w:line="240" w:lineRule="auto"/>
        <w:ind w:left="1440"/>
        <w:jc w:val="both"/>
      </w:pPr>
      <w:r>
        <w:tab/>
      </w:r>
      <w:r w:rsidRPr="00A45E27">
        <w:t xml:space="preserve">Dans le cas où il est fait référence au présent paragraphe, l'article </w:t>
      </w:r>
      <w:r w:rsidRPr="00E616B4">
        <w:t>5 bis</w:t>
      </w:r>
      <w:r w:rsidRPr="00A45E27">
        <w:t xml:space="preserve">, paragraphes 1 à 4, </w:t>
      </w:r>
      <w:r>
        <w:t xml:space="preserve">et l'article 7 </w:t>
      </w:r>
      <w:r w:rsidRPr="00A45E27">
        <w:t>de la décision 1999/468/CE s'appliquent, dans le respect des dispo</w:t>
      </w:r>
      <w:r>
        <w:t>sitions de l’article 8 de celle-ci.</w:t>
      </w:r>
    </w:p>
    <w:p w:rsidR="00BB166C" w:rsidRPr="000C342D" w:rsidRDefault="00BB166C" w:rsidP="000E01B8">
      <w:pPr>
        <w:pStyle w:val="Point2"/>
      </w:pPr>
      <w:r>
        <w:t>Une</w:t>
      </w:r>
      <w:r w:rsidRPr="000C342D">
        <w:t xml:space="preserve"> décision peut être prise, à condition:</w:t>
      </w:r>
    </w:p>
    <w:p w:rsidR="00BB166C" w:rsidRPr="000C342D" w:rsidRDefault="00BB166C" w:rsidP="000E01B8">
      <w:pPr>
        <w:pStyle w:val="Point3"/>
        <w:spacing w:before="0" w:line="240" w:lineRule="auto"/>
        <w:ind w:left="1980"/>
        <w:jc w:val="both"/>
      </w:pPr>
      <w:r w:rsidRPr="000C342D">
        <w:t>i)</w:t>
      </w:r>
      <w:r w:rsidRPr="000C342D">
        <w:tab/>
        <w:t>que l'utilisation de la substance ou du mélange ait été évaluée par le comité scientifique compétent et considéré comme sûr, en particulier sous l'angle de l'exposition, et</w:t>
      </w:r>
    </w:p>
    <w:p w:rsidR="00BB166C" w:rsidRPr="006136FD" w:rsidRDefault="00BB166C" w:rsidP="000E01B8">
      <w:pPr>
        <w:pStyle w:val="Point3"/>
        <w:spacing w:before="0" w:line="240" w:lineRule="auto"/>
        <w:ind w:left="1980"/>
        <w:jc w:val="both"/>
      </w:pPr>
      <w:r w:rsidRPr="000C342D">
        <w:t>ii)</w:t>
      </w:r>
      <w:r w:rsidRPr="000C342D">
        <w:tab/>
        <w:t xml:space="preserve">que l'utilisation de la substance ou du mélange ne soit pas interdite dans les </w:t>
      </w:r>
      <w:r w:rsidRPr="006136FD">
        <w:t>produits de consommation au titre du règlement (CE) n° 1907/2006.</w:t>
      </w:r>
    </w:p>
    <w:p w:rsidR="00BB166C" w:rsidRPr="000C342D" w:rsidRDefault="00BB166C" w:rsidP="000E01B8">
      <w:pPr>
        <w:pStyle w:val="QuotedText"/>
        <w:spacing w:before="0" w:line="240" w:lineRule="auto"/>
        <w:jc w:val="both"/>
      </w:pPr>
      <w:r w:rsidRPr="00C14EE8">
        <w:t xml:space="preserve">La </w:t>
      </w:r>
      <w:r>
        <w:t xml:space="preserve">Commission européenne </w:t>
      </w:r>
      <w:r w:rsidRPr="00C14EE8">
        <w:t>charge le comité scientifique compétent de réévaluer ces substances ou mélanges dès que des doutes se font jour au sujet de leur sécurité et au plus tard tous les cinq ans à partir de la date à laquelle a été prise une décision conformément à l'article 46, paragraphe 3</w:t>
      </w:r>
      <w:r w:rsidRPr="00735CC9">
        <w:rPr>
          <w:color w:val="CC99FF"/>
        </w:rPr>
        <w:t>.</w:t>
      </w:r>
    </w:p>
    <w:p w:rsidR="00BB166C" w:rsidRPr="000C342D" w:rsidRDefault="00BB166C" w:rsidP="000E01B8">
      <w:pPr>
        <w:pStyle w:val="Point0"/>
        <w:spacing w:before="0" w:line="240" w:lineRule="auto"/>
        <w:jc w:val="both"/>
      </w:pPr>
      <w:r w:rsidRPr="000C342D">
        <w:t>6.</w:t>
      </w:r>
      <w:r w:rsidRPr="000C342D">
        <w:tab/>
        <w:t>Les points 3, 4 et 5 ne s'appliquent pas au nickel contenu dans l'acier inoxydable.</w:t>
      </w:r>
    </w:p>
    <w:p w:rsidR="00BB166C" w:rsidRPr="000C342D" w:rsidRDefault="00BB166C" w:rsidP="000E01B8">
      <w:pPr>
        <w:pStyle w:val="Point0"/>
        <w:spacing w:before="0" w:line="240" w:lineRule="auto"/>
        <w:jc w:val="both"/>
      </w:pPr>
      <w:r w:rsidRPr="000C342D">
        <w:t>7.</w:t>
      </w:r>
      <w:r w:rsidRPr="000C342D">
        <w:tab/>
        <w:t xml:space="preserve">Les points 3, 4 et 5 ne s'appliquent pas aux matériaux qui sont conformes aux valeurs limites spécifiques fixées dans l'appendice C ou, </w:t>
      </w:r>
      <w:r w:rsidRPr="00735CC9">
        <w:t>jusqu’à ce</w:t>
      </w:r>
      <w:r w:rsidRPr="000C342D">
        <w:t xml:space="preserve"> que ces valeurs aient été définies, mais pas au-delà </w:t>
      </w:r>
      <w:r w:rsidRPr="00735CC9">
        <w:t>du 20 juillet 2017</w:t>
      </w:r>
      <w:r w:rsidRPr="000C342D">
        <w:t xml:space="preserve"> aux matériaux couverts par les dispositions relatives aux matières entrant en contact avec les denrées alimentaires et respectant ces dispositions telles qu'elles sont définies dans le règlement (CE) n° 1935/2004 ainsi que les mesures spécifiques afférentes pour certaines matières.</w:t>
      </w:r>
    </w:p>
    <w:p w:rsidR="00BB166C" w:rsidRPr="000C342D" w:rsidRDefault="00BB166C" w:rsidP="000E01B8">
      <w:pPr>
        <w:pStyle w:val="Point0"/>
        <w:spacing w:before="0" w:line="240" w:lineRule="auto"/>
        <w:jc w:val="both"/>
      </w:pPr>
      <w:r w:rsidRPr="000C342D">
        <w:t>8.</w:t>
      </w:r>
      <w:r w:rsidRPr="000C342D">
        <w:tab/>
        <w:t>Sans préjudice de l'application des points 3 et 4, l'utilisation des nitrosamines et des substances nitrosables est interdite dans les jouets destinés à des enfants de moins de 36 mois et dans les autres jouets destinés à être mis en bouche, si la migration de ces substances est égale ou supérieure à 0,05 mg par kg pour les nitrosamines et à 1 mg par kg pour les substances nitrosables.</w:t>
      </w:r>
    </w:p>
    <w:p w:rsidR="00BB166C" w:rsidRPr="000726D1" w:rsidRDefault="00BB166C" w:rsidP="000E01B8">
      <w:pPr>
        <w:pStyle w:val="Point0"/>
        <w:spacing w:before="0" w:line="240" w:lineRule="auto"/>
        <w:jc w:val="both"/>
      </w:pPr>
      <w:r w:rsidRPr="000C342D">
        <w:t>9.</w:t>
      </w:r>
      <w:r w:rsidRPr="000C342D">
        <w:tab/>
      </w:r>
      <w:r w:rsidRPr="00C14EE8">
        <w:t xml:space="preserve">La </w:t>
      </w:r>
      <w:r>
        <w:t xml:space="preserve">Commission européenne </w:t>
      </w:r>
      <w:r w:rsidRPr="000C342D">
        <w:t xml:space="preserve">évalue systématiquement et à intervalles réguliers la présence de substances ou de matières dangereuses dans les jouets. Ces évaluations tiennent compte </w:t>
      </w:r>
      <w:r w:rsidRPr="000726D1">
        <w:t>des rapports transmis par les organismes de surveillance du marché ainsi que des préoccupations exprimées par les États membres et par les parties prenantes.</w:t>
      </w:r>
    </w:p>
    <w:p w:rsidR="00BB166C" w:rsidRPr="008F4814" w:rsidRDefault="00BB166C" w:rsidP="000E01B8">
      <w:pPr>
        <w:pStyle w:val="Point0"/>
        <w:spacing w:before="0" w:line="240" w:lineRule="auto"/>
        <w:jc w:val="both"/>
      </w:pPr>
      <w:r w:rsidRPr="008F4814">
        <w:t>10.</w:t>
      </w:r>
      <w:r w:rsidRPr="008F4814">
        <w:tab/>
        <w:t xml:space="preserve">Les jouets cosmétiques, tels que les cosmétiques pour poupées, doivent être conformes aux exigences de composition et d'étiquetage énoncées dans la </w:t>
      </w:r>
      <w:r>
        <w:t xml:space="preserve">loi </w:t>
      </w:r>
      <w:r w:rsidRPr="008F4814">
        <w:t>modifiée du 25 septembre 1953 ayant pour objet la réorganisation du contrôle des denrées alimentaires, boissons et produits usuels et les règlements pris en son exécution en vue de la transposition de la législation communautaire relative aux produits cosmétiques</w:t>
      </w:r>
    </w:p>
    <w:p w:rsidR="00BB166C" w:rsidRPr="000C342D" w:rsidRDefault="00BB166C" w:rsidP="000E01B8">
      <w:pPr>
        <w:pStyle w:val="Point0"/>
        <w:spacing w:before="0" w:after="360" w:line="240" w:lineRule="auto"/>
        <w:ind w:left="851" w:hanging="851"/>
        <w:jc w:val="both"/>
      </w:pPr>
      <w:r w:rsidRPr="000C342D">
        <w:t>11.</w:t>
      </w:r>
      <w:r w:rsidRPr="000C342D">
        <w:tab/>
        <w:t>Les jouets ne contiennent pas les substances parfumantes allergisantes suivantes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5712"/>
        <w:gridCol w:w="2558"/>
      </w:tblGrid>
      <w:tr w:rsidR="00BB166C" w:rsidRPr="000C342D" w:rsidTr="00041D97">
        <w:tc>
          <w:tcPr>
            <w:tcW w:w="550" w:type="dxa"/>
            <w:vAlign w:val="center"/>
          </w:tcPr>
          <w:p w:rsidR="00BB166C" w:rsidRPr="00041D97" w:rsidRDefault="00BB166C" w:rsidP="00041D97">
            <w:pPr>
              <w:spacing w:before="0" w:line="240" w:lineRule="auto"/>
              <w:jc w:val="center"/>
              <w:rPr>
                <w:b/>
                <w:sz w:val="20"/>
                <w:lang w:eastAsia="lb-LU"/>
              </w:rPr>
            </w:pPr>
            <w:r w:rsidRPr="00041D97">
              <w:rPr>
                <w:b/>
                <w:sz w:val="20"/>
                <w:lang w:eastAsia="lb-LU"/>
              </w:rPr>
              <w:t>N°</w:t>
            </w:r>
          </w:p>
        </w:tc>
        <w:tc>
          <w:tcPr>
            <w:tcW w:w="5712" w:type="dxa"/>
            <w:vAlign w:val="center"/>
          </w:tcPr>
          <w:p w:rsidR="00BB166C" w:rsidRPr="00041D97" w:rsidRDefault="00BB166C" w:rsidP="00041D97">
            <w:pPr>
              <w:spacing w:before="0" w:line="240" w:lineRule="auto"/>
              <w:jc w:val="center"/>
              <w:rPr>
                <w:b/>
                <w:sz w:val="20"/>
                <w:lang w:eastAsia="lb-LU"/>
              </w:rPr>
            </w:pPr>
            <w:r w:rsidRPr="00041D97">
              <w:rPr>
                <w:b/>
                <w:sz w:val="20"/>
                <w:lang w:eastAsia="lb-LU"/>
              </w:rPr>
              <w:t>Dénomination de la substance parfumante allergisante</w:t>
            </w:r>
          </w:p>
        </w:tc>
        <w:tc>
          <w:tcPr>
            <w:tcW w:w="2558" w:type="dxa"/>
            <w:vAlign w:val="center"/>
          </w:tcPr>
          <w:p w:rsidR="00BB166C" w:rsidRPr="00041D97" w:rsidRDefault="00BB166C" w:rsidP="00041D97">
            <w:pPr>
              <w:spacing w:before="0" w:line="240" w:lineRule="auto"/>
              <w:jc w:val="center"/>
              <w:rPr>
                <w:b/>
                <w:sz w:val="20"/>
                <w:lang w:eastAsia="lb-LU"/>
              </w:rPr>
            </w:pPr>
            <w:r w:rsidRPr="00041D97">
              <w:rPr>
                <w:b/>
                <w:sz w:val="20"/>
                <w:lang w:eastAsia="lb-LU"/>
              </w:rPr>
              <w:t>Numéro CAS</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(1)</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Huile de racine d'aunée (</w:t>
            </w:r>
            <w:r w:rsidRPr="00041D97">
              <w:rPr>
                <w:i/>
                <w:sz w:val="20"/>
                <w:lang w:eastAsia="da-DK"/>
              </w:rPr>
              <w:t>Inula helenium</w:t>
            </w:r>
            <w:r w:rsidRPr="00041D97">
              <w:rPr>
                <w:sz w:val="20"/>
                <w:lang w:eastAsia="da-DK"/>
              </w:rPr>
              <w:t>)</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97976-35-2</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(2)</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Allylisothiocyanate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57-06-7</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(3)</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 xml:space="preserve">Cyanure de benzyle </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140-29-4</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(4)</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4 tert-butylphenol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98-54-4</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(5)</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Huile de chénopode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8006-99-3</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(6)</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 xml:space="preserve">Alcool de cyclamen </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4756-19-8</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(7)</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Maléate diéthylique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141-05-9</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(8)</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Dihydrocoumarine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119-84-6</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(9)</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2,4-dihydroxy-3-methylbenzaldéhyde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6248-20-0</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 xml:space="preserve"> (10)</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3,7-dimethyle-2-octen-1-ol (6,7-dihydrogéraniol)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40607-48-5</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(11)</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4,6-dimethyle-8-tert-butylcoumarine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17874-34-9</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(12)</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Citraconate de diméthyle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617-54-9</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(13)</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7,11-diméthyle-4,6,10-dodécatrien-3-one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26651-96-7</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(14)</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6,10-diméthyle-3,5,9-undécatrien-2-one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141-10-6</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(15)</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Diphénylamine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122-39-4</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(16)</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Acrylate d'éthyle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140-88-5</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(17)</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Feuille de figuier, fraîche et préparations</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68916-52-9</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(18)</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trans-2-Hepténal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18829-55-5</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(19)</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trans-2-Hexénal diéthyle acétal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67746-30-9</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(20)</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trans-2-Hexénal dimethyle acétal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18318-83-7</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(21)</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Alcool hydroabiétylique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13393-93-6</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(22)</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4-éthoxy-phénol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622-62-8</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(23)</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6-décahydro - 6 - isopropyl - 2 – naphtol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34131-99-2</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(24)</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7-Méthoxycoumarine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531-59-9</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(25)</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4-Methoxyphénol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150-76-5</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(26)</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4-(3-méthoxyphényl)-3-butane-2-one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943-88-4</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(27)</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1-(p-méthoxyphényl)-1-pentène-3-one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104-27-8</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(28)</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Méthyl trans-2-buténoate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623-43-8</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(29)</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Méthyl-6-coumarine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92-48-8</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(30)</w:t>
            </w:r>
          </w:p>
        </w:tc>
        <w:tc>
          <w:tcPr>
            <w:tcW w:w="5712" w:type="dxa"/>
            <w:vAlign w:val="center"/>
          </w:tcPr>
          <w:p w:rsidR="00BB166C" w:rsidRPr="00041D97" w:rsidRDefault="00BB166C" w:rsidP="00041D97">
            <w:pPr>
              <w:spacing w:before="0" w:line="240" w:lineRule="auto"/>
              <w:rPr>
                <w:sz w:val="20"/>
                <w:lang w:eastAsia="da-DK"/>
              </w:rPr>
            </w:pPr>
            <w:r w:rsidRPr="00041D97">
              <w:rPr>
                <w:sz w:val="20"/>
                <w:lang w:eastAsia="da-DK"/>
              </w:rPr>
              <w:t>Méthyl-7-coumarine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2445-83-2</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(31)</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Méthyl-5-2, 3 – hexanédione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13706-86-0</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(32)</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 xml:space="preserve">Huile de racine de costus </w:t>
            </w:r>
            <w:r w:rsidRPr="00041D97">
              <w:rPr>
                <w:sz w:val="20"/>
                <w:lang w:eastAsia="da-DK"/>
              </w:rPr>
              <w:t>(</w:t>
            </w:r>
            <w:r w:rsidRPr="00041D97">
              <w:rPr>
                <w:i/>
                <w:sz w:val="20"/>
                <w:lang w:eastAsia="da-DK"/>
              </w:rPr>
              <w:t>Saussurea lappa Clarke</w:t>
            </w:r>
            <w:r w:rsidRPr="00041D97">
              <w:rPr>
                <w:sz w:val="20"/>
                <w:lang w:eastAsia="da-DK"/>
              </w:rPr>
              <w:t>)</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8023-88-9</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(33)</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7-Ethoxy-4-methylcoumarine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87-05-8</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(34)</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Hexahydrocoumarine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700-82-3</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(35)</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Baume du Pérou (</w:t>
            </w:r>
            <w:r w:rsidRPr="00041D97">
              <w:rPr>
                <w:i/>
                <w:sz w:val="20"/>
                <w:lang w:eastAsia="da-DK"/>
              </w:rPr>
              <w:t>Myroxylon de Myroxylon Pereirae Klotzsch</w:t>
            </w:r>
            <w:r w:rsidRPr="00041D97">
              <w:rPr>
                <w:sz w:val="20"/>
                <w:lang w:eastAsia="da-DK"/>
              </w:rPr>
              <w:t>)</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8007-00-9</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(36)</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2 - pentylidène-cyclohexanone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25677-40-1</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(37)</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da-DK"/>
              </w:rPr>
              <w:t>3,6,10-triméthyl-3,5,9-undécatrien-2-one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1117-41-5</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(38)</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Huile de verbena (Lippia citriodora Kunth).</w:t>
            </w:r>
          </w:p>
        </w:tc>
        <w:tc>
          <w:tcPr>
            <w:tcW w:w="2558" w:type="dxa"/>
            <w:vAlign w:val="center"/>
          </w:tcPr>
          <w:p w:rsidR="00BB166C" w:rsidRPr="00041D97" w:rsidRDefault="00BB166C" w:rsidP="00041D97">
            <w:pPr>
              <w:spacing w:before="0" w:line="240" w:lineRule="auto"/>
              <w:rPr>
                <w:sz w:val="20"/>
                <w:lang w:val="en-US" w:eastAsia="lb-LU"/>
              </w:rPr>
            </w:pPr>
            <w:r w:rsidRPr="00041D97">
              <w:rPr>
                <w:sz w:val="20"/>
                <w:lang w:val="en-US" w:eastAsia="lb-LU"/>
              </w:rPr>
              <w:t>8024-12-2</w:t>
            </w:r>
          </w:p>
        </w:tc>
      </w:tr>
      <w:tr w:rsidR="00BB166C" w:rsidRPr="000C342D" w:rsidTr="00041D97">
        <w:tc>
          <w:tcPr>
            <w:tcW w:w="550" w:type="dxa"/>
            <w:vAlign w:val="center"/>
          </w:tcPr>
          <w:p w:rsidR="00BB166C" w:rsidRPr="00041D97" w:rsidRDefault="00BB166C" w:rsidP="00041D97">
            <w:pPr>
              <w:spacing w:before="0" w:line="240" w:lineRule="auto"/>
              <w:rPr>
                <w:sz w:val="20"/>
                <w:lang w:val="en-US" w:eastAsia="lb-LU"/>
              </w:rPr>
            </w:pPr>
            <w:r w:rsidRPr="00041D97">
              <w:rPr>
                <w:sz w:val="20"/>
                <w:lang w:val="en-US" w:eastAsia="lb-LU"/>
              </w:rPr>
              <w:t>(39)</w:t>
            </w:r>
          </w:p>
        </w:tc>
        <w:tc>
          <w:tcPr>
            <w:tcW w:w="5712" w:type="dxa"/>
            <w:vAlign w:val="center"/>
          </w:tcPr>
          <w:p w:rsidR="00BB166C" w:rsidRPr="00041D97" w:rsidRDefault="00BB166C" w:rsidP="00041D97">
            <w:pPr>
              <w:spacing w:before="0" w:line="240" w:lineRule="auto"/>
              <w:rPr>
                <w:sz w:val="20"/>
                <w:lang w:val="en-US" w:eastAsia="lb-LU"/>
              </w:rPr>
            </w:pPr>
            <w:r w:rsidRPr="00041D97">
              <w:rPr>
                <w:sz w:val="20"/>
                <w:lang w:val="en-US" w:eastAsia="lb-LU"/>
              </w:rPr>
              <w:t>Musk ambrette (4-ter-Butyl-3-methoxy-2,6- dinitrotoluene)</w:t>
            </w:r>
          </w:p>
        </w:tc>
        <w:tc>
          <w:tcPr>
            <w:tcW w:w="2558" w:type="dxa"/>
            <w:vAlign w:val="center"/>
          </w:tcPr>
          <w:p w:rsidR="00BB166C" w:rsidRPr="00041D97" w:rsidRDefault="00BB166C" w:rsidP="00041D97">
            <w:pPr>
              <w:spacing w:before="0" w:line="240" w:lineRule="auto"/>
              <w:rPr>
                <w:sz w:val="20"/>
                <w:lang w:val="en-US" w:eastAsia="lb-LU"/>
              </w:rPr>
            </w:pPr>
            <w:r w:rsidRPr="00041D97">
              <w:rPr>
                <w:sz w:val="20"/>
                <w:lang w:val="en-US" w:eastAsia="lb-LU"/>
              </w:rPr>
              <w:t>83-66-9</w:t>
            </w:r>
          </w:p>
        </w:tc>
      </w:tr>
      <w:tr w:rsidR="00BB166C" w:rsidRPr="000C342D" w:rsidTr="00041D97">
        <w:tc>
          <w:tcPr>
            <w:tcW w:w="550" w:type="dxa"/>
            <w:vAlign w:val="center"/>
          </w:tcPr>
          <w:p w:rsidR="00BB166C" w:rsidRPr="00041D97" w:rsidRDefault="00BB166C" w:rsidP="00041D97">
            <w:pPr>
              <w:spacing w:before="0" w:line="240" w:lineRule="auto"/>
              <w:rPr>
                <w:sz w:val="20"/>
                <w:lang w:val="en-US" w:eastAsia="lb-LU"/>
              </w:rPr>
            </w:pPr>
            <w:r w:rsidRPr="00041D97">
              <w:rPr>
                <w:sz w:val="20"/>
                <w:lang w:val="en-US" w:eastAsia="lb-LU"/>
              </w:rPr>
              <w:t>(40)</w:t>
            </w:r>
          </w:p>
        </w:tc>
        <w:tc>
          <w:tcPr>
            <w:tcW w:w="5712" w:type="dxa"/>
            <w:vAlign w:val="center"/>
          </w:tcPr>
          <w:p w:rsidR="00BB166C" w:rsidRPr="00041D97" w:rsidRDefault="00BB166C" w:rsidP="00041D97">
            <w:pPr>
              <w:spacing w:before="0" w:line="240" w:lineRule="auto"/>
              <w:rPr>
                <w:sz w:val="20"/>
                <w:lang w:val="en-US" w:eastAsia="lb-LU"/>
              </w:rPr>
            </w:pPr>
            <w:r w:rsidRPr="00041D97">
              <w:rPr>
                <w:sz w:val="20"/>
                <w:lang w:val="en-US" w:eastAsia="lb-LU"/>
              </w:rPr>
              <w:t>4-Phenyl-3-buten-2-one</w:t>
            </w:r>
          </w:p>
        </w:tc>
        <w:tc>
          <w:tcPr>
            <w:tcW w:w="2558" w:type="dxa"/>
            <w:vAlign w:val="center"/>
          </w:tcPr>
          <w:p w:rsidR="00BB166C" w:rsidRPr="00041D97" w:rsidRDefault="00BB166C" w:rsidP="00041D97">
            <w:pPr>
              <w:spacing w:before="0" w:line="240" w:lineRule="auto"/>
              <w:rPr>
                <w:sz w:val="20"/>
                <w:lang w:val="en-US" w:eastAsia="lb-LU"/>
              </w:rPr>
            </w:pPr>
            <w:r w:rsidRPr="00041D97">
              <w:rPr>
                <w:sz w:val="20"/>
                <w:lang w:val="en-US" w:eastAsia="lb-LU"/>
              </w:rPr>
              <w:t>122-57-6</w:t>
            </w:r>
          </w:p>
        </w:tc>
      </w:tr>
      <w:tr w:rsidR="00BB166C" w:rsidRPr="000C342D" w:rsidTr="00041D97">
        <w:tc>
          <w:tcPr>
            <w:tcW w:w="550" w:type="dxa"/>
            <w:vAlign w:val="center"/>
          </w:tcPr>
          <w:p w:rsidR="00BB166C" w:rsidRPr="00041D97" w:rsidRDefault="00BB166C" w:rsidP="00041D97">
            <w:pPr>
              <w:spacing w:before="0" w:line="240" w:lineRule="auto"/>
              <w:rPr>
                <w:sz w:val="20"/>
                <w:lang w:val="en-US" w:eastAsia="lb-LU"/>
              </w:rPr>
            </w:pPr>
            <w:r w:rsidRPr="00041D97">
              <w:rPr>
                <w:sz w:val="20"/>
                <w:lang w:val="en-US" w:eastAsia="lb-LU"/>
              </w:rPr>
              <w:t>(41)</w:t>
            </w:r>
          </w:p>
        </w:tc>
        <w:tc>
          <w:tcPr>
            <w:tcW w:w="5712" w:type="dxa"/>
            <w:vAlign w:val="center"/>
          </w:tcPr>
          <w:p w:rsidR="00BB166C" w:rsidRPr="00041D97" w:rsidRDefault="00BB166C" w:rsidP="00041D97">
            <w:pPr>
              <w:spacing w:before="0" w:line="240" w:lineRule="auto"/>
              <w:rPr>
                <w:sz w:val="20"/>
                <w:lang w:val="en-US" w:eastAsia="lb-LU"/>
              </w:rPr>
            </w:pPr>
            <w:r w:rsidRPr="00041D97">
              <w:rPr>
                <w:sz w:val="20"/>
                <w:lang w:val="en-US" w:eastAsia="lb-LU"/>
              </w:rPr>
              <w:t>Amyl cinnamal</w:t>
            </w:r>
          </w:p>
        </w:tc>
        <w:tc>
          <w:tcPr>
            <w:tcW w:w="2558" w:type="dxa"/>
            <w:vAlign w:val="center"/>
          </w:tcPr>
          <w:p w:rsidR="00BB166C" w:rsidRPr="00041D97" w:rsidRDefault="00BB166C" w:rsidP="00041D97">
            <w:pPr>
              <w:spacing w:before="0" w:line="240" w:lineRule="auto"/>
              <w:rPr>
                <w:sz w:val="20"/>
                <w:lang w:val="en-US" w:eastAsia="lb-LU"/>
              </w:rPr>
            </w:pPr>
            <w:r w:rsidRPr="00041D97">
              <w:rPr>
                <w:sz w:val="20"/>
                <w:lang w:val="en-US" w:eastAsia="lb-LU"/>
              </w:rPr>
              <w:t>122-40-7</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(42)</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Amylcinnamyl alcool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101-85-9</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(43)</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Alcool de benzyle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100-51-6</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(44)</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Salicylate de benzyle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118-58-1</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(45)</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Cinnamyl alcool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104-54-1</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(46)</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Cinnamal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104-55-2</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(47)</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Citral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5392-40-5</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(48)</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Coumarine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91-64-5</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(49)</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Eugenol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97-53-0</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(50)</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Géraniol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106-24-1</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(51)</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Hydroxy-citronellal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107-75-5</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(52)</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Hydroxy-methylpentylcyclohexenecarboxaldehyde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31906-04-4</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(53)</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Isoeugenol</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97-54-1</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(54)</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Extraits de mousse de chêne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90028-68-5</w:t>
            </w:r>
          </w:p>
        </w:tc>
      </w:tr>
      <w:tr w:rsidR="00BB166C" w:rsidRPr="000C342D" w:rsidTr="00041D97">
        <w:tc>
          <w:tcPr>
            <w:tcW w:w="550" w:type="dxa"/>
            <w:vAlign w:val="center"/>
          </w:tcPr>
          <w:p w:rsidR="00BB166C" w:rsidRPr="00041D97" w:rsidRDefault="00BB166C" w:rsidP="00041D97">
            <w:pPr>
              <w:spacing w:before="0" w:line="240" w:lineRule="auto"/>
              <w:rPr>
                <w:sz w:val="20"/>
                <w:lang w:eastAsia="lb-LU"/>
              </w:rPr>
            </w:pPr>
            <w:r w:rsidRPr="00041D97">
              <w:rPr>
                <w:sz w:val="20"/>
                <w:lang w:eastAsia="lb-LU"/>
              </w:rPr>
              <w:t>(55)</w:t>
            </w:r>
          </w:p>
        </w:tc>
        <w:tc>
          <w:tcPr>
            <w:tcW w:w="5712" w:type="dxa"/>
            <w:vAlign w:val="center"/>
          </w:tcPr>
          <w:p w:rsidR="00BB166C" w:rsidRPr="00041D97" w:rsidRDefault="00BB166C" w:rsidP="00041D97">
            <w:pPr>
              <w:spacing w:before="0" w:line="240" w:lineRule="auto"/>
              <w:rPr>
                <w:sz w:val="20"/>
                <w:lang w:eastAsia="lb-LU"/>
              </w:rPr>
            </w:pPr>
            <w:r w:rsidRPr="00041D97">
              <w:rPr>
                <w:sz w:val="20"/>
                <w:lang w:eastAsia="lb-LU"/>
              </w:rPr>
              <w:t>Extraits de mousse d'arbre</w:t>
            </w:r>
          </w:p>
        </w:tc>
        <w:tc>
          <w:tcPr>
            <w:tcW w:w="2558" w:type="dxa"/>
            <w:vAlign w:val="center"/>
          </w:tcPr>
          <w:p w:rsidR="00BB166C" w:rsidRPr="00041D97" w:rsidRDefault="00BB166C" w:rsidP="00041D97">
            <w:pPr>
              <w:spacing w:before="0" w:line="240" w:lineRule="auto"/>
              <w:rPr>
                <w:sz w:val="20"/>
                <w:lang w:eastAsia="lb-LU"/>
              </w:rPr>
            </w:pPr>
            <w:r w:rsidRPr="00041D97">
              <w:rPr>
                <w:sz w:val="20"/>
                <w:lang w:eastAsia="lb-LU"/>
              </w:rPr>
              <w:t>90028-67-4</w:t>
            </w:r>
          </w:p>
        </w:tc>
      </w:tr>
    </w:tbl>
    <w:p w:rsidR="00BB166C" w:rsidRPr="000C342D" w:rsidRDefault="00BB166C" w:rsidP="000E01B8">
      <w:pPr>
        <w:pStyle w:val="Point1"/>
        <w:spacing w:before="360" w:after="360" w:line="240" w:lineRule="auto"/>
        <w:ind w:left="851" w:firstLine="0"/>
        <w:jc w:val="both"/>
      </w:pPr>
      <w:r w:rsidRPr="000C342D">
        <w:t>Toutefois, la présence de traces de ces substances</w:t>
      </w:r>
      <w:r w:rsidRPr="002F79E4">
        <w:t xml:space="preserve"> parfumantes</w:t>
      </w:r>
      <w:r w:rsidRPr="000C342D">
        <w:t xml:space="preserve"> est tolérée, à condition qu'elle soit techniquement inévitable dans les bonnes pratiques de fabrication et qu'elle ne dépasse pas 100</w:t>
      </w:r>
      <w:r w:rsidRPr="002F79E4">
        <w:t xml:space="preserve"> mg/kg</w:t>
      </w:r>
      <w:r>
        <w:t>.</w:t>
      </w:r>
    </w:p>
    <w:p w:rsidR="00BB166C" w:rsidRPr="000C342D" w:rsidRDefault="00BB166C" w:rsidP="000E01B8">
      <w:pPr>
        <w:pStyle w:val="Point1"/>
        <w:spacing w:before="0" w:after="360" w:line="240" w:lineRule="auto"/>
        <w:ind w:left="851" w:firstLine="0"/>
        <w:jc w:val="both"/>
      </w:pPr>
      <w:r w:rsidRPr="000C342D">
        <w:t xml:space="preserve">En outre, les substances parfumantes allergisantes ci-après doivent être indiquées sur le jouet, sur une étiquette jointe, sur l'emballage ou sur un feuillet d'accompagnement, si elles ont été ajoutées aux jouets, telles quelles, à des concentrations dépassant </w:t>
      </w:r>
      <w:r w:rsidRPr="002F79E4">
        <w:t>100 mg/kg</w:t>
      </w:r>
      <w:r w:rsidRPr="000C342D">
        <w:t xml:space="preserve"> du jouet ou des composantes de celui-ci.</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5696"/>
        <w:gridCol w:w="2574"/>
      </w:tblGrid>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jc w:val="center"/>
              <w:rPr>
                <w:b/>
                <w:sz w:val="20"/>
                <w:lang w:eastAsia="lb-LU"/>
              </w:rPr>
            </w:pPr>
            <w:r w:rsidRPr="00041D97">
              <w:rPr>
                <w:b/>
                <w:sz w:val="20"/>
                <w:lang w:eastAsia="lb-LU"/>
              </w:rPr>
              <w:t>N°</w:t>
            </w:r>
          </w:p>
        </w:tc>
        <w:tc>
          <w:tcPr>
            <w:tcW w:w="5696" w:type="dxa"/>
            <w:vAlign w:val="center"/>
          </w:tcPr>
          <w:p w:rsidR="00BB166C" w:rsidRPr="00041D97" w:rsidRDefault="00BB166C" w:rsidP="00041D97">
            <w:pPr>
              <w:autoSpaceDE w:val="0"/>
              <w:autoSpaceDN w:val="0"/>
              <w:adjustRightInd w:val="0"/>
              <w:spacing w:before="0" w:line="240" w:lineRule="auto"/>
              <w:jc w:val="center"/>
              <w:rPr>
                <w:b/>
                <w:sz w:val="20"/>
                <w:lang w:eastAsia="lb-LU"/>
              </w:rPr>
            </w:pPr>
            <w:r w:rsidRPr="00041D97">
              <w:rPr>
                <w:b/>
                <w:sz w:val="20"/>
                <w:lang w:eastAsia="lb-LU"/>
              </w:rPr>
              <w:t>Dénomination de la substance parfumante allergisante</w:t>
            </w:r>
          </w:p>
        </w:tc>
        <w:tc>
          <w:tcPr>
            <w:tcW w:w="2574" w:type="dxa"/>
            <w:vAlign w:val="center"/>
          </w:tcPr>
          <w:p w:rsidR="00BB166C" w:rsidRPr="00041D97" w:rsidRDefault="00BB166C" w:rsidP="00041D97">
            <w:pPr>
              <w:autoSpaceDE w:val="0"/>
              <w:autoSpaceDN w:val="0"/>
              <w:adjustRightInd w:val="0"/>
              <w:spacing w:before="0" w:line="240" w:lineRule="auto"/>
              <w:jc w:val="center"/>
              <w:rPr>
                <w:b/>
                <w:sz w:val="20"/>
                <w:lang w:eastAsia="lb-LU"/>
              </w:rPr>
            </w:pPr>
            <w:r w:rsidRPr="00041D97">
              <w:rPr>
                <w:b/>
                <w:sz w:val="20"/>
                <w:lang w:eastAsia="lb-LU"/>
              </w:rPr>
              <w:t>N° CAS</w:t>
            </w:r>
          </w:p>
        </w:tc>
      </w:tr>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(1)</w:t>
            </w:r>
          </w:p>
        </w:tc>
        <w:tc>
          <w:tcPr>
            <w:tcW w:w="5696"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Alcool anisique</w:t>
            </w:r>
          </w:p>
        </w:tc>
        <w:tc>
          <w:tcPr>
            <w:tcW w:w="2574"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105-13-5</w:t>
            </w:r>
          </w:p>
        </w:tc>
      </w:tr>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(2)</w:t>
            </w:r>
          </w:p>
        </w:tc>
        <w:tc>
          <w:tcPr>
            <w:tcW w:w="5696"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 xml:space="preserve">Benzoate de benzyle </w:t>
            </w:r>
          </w:p>
        </w:tc>
        <w:tc>
          <w:tcPr>
            <w:tcW w:w="2574"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120-51-4</w:t>
            </w:r>
          </w:p>
        </w:tc>
      </w:tr>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(3)</w:t>
            </w:r>
          </w:p>
        </w:tc>
        <w:tc>
          <w:tcPr>
            <w:tcW w:w="5696"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Cinnamate de benzyle</w:t>
            </w:r>
          </w:p>
        </w:tc>
        <w:tc>
          <w:tcPr>
            <w:tcW w:w="2574"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103-41-3</w:t>
            </w:r>
          </w:p>
        </w:tc>
      </w:tr>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(4)</w:t>
            </w:r>
          </w:p>
        </w:tc>
        <w:tc>
          <w:tcPr>
            <w:tcW w:w="5696"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Citronellol</w:t>
            </w:r>
          </w:p>
        </w:tc>
        <w:tc>
          <w:tcPr>
            <w:tcW w:w="2574"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106-22-9</w:t>
            </w:r>
          </w:p>
        </w:tc>
      </w:tr>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(5)</w:t>
            </w:r>
          </w:p>
        </w:tc>
        <w:tc>
          <w:tcPr>
            <w:tcW w:w="5696"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Farnesol</w:t>
            </w:r>
          </w:p>
        </w:tc>
        <w:tc>
          <w:tcPr>
            <w:tcW w:w="2574"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4602-84-0</w:t>
            </w:r>
          </w:p>
        </w:tc>
      </w:tr>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(6)</w:t>
            </w:r>
          </w:p>
        </w:tc>
        <w:tc>
          <w:tcPr>
            <w:tcW w:w="5696"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Hexylcinnamaldéhyde</w:t>
            </w:r>
          </w:p>
        </w:tc>
        <w:tc>
          <w:tcPr>
            <w:tcW w:w="2574"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101-86-0</w:t>
            </w:r>
          </w:p>
        </w:tc>
      </w:tr>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(7)</w:t>
            </w:r>
          </w:p>
        </w:tc>
        <w:tc>
          <w:tcPr>
            <w:tcW w:w="5696"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 xml:space="preserve">Lilial </w:t>
            </w:r>
          </w:p>
        </w:tc>
        <w:tc>
          <w:tcPr>
            <w:tcW w:w="2574"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80-54-6</w:t>
            </w:r>
          </w:p>
        </w:tc>
      </w:tr>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rPr>
                <w:sz w:val="20"/>
                <w:lang w:val="en-US" w:eastAsia="lb-LU"/>
              </w:rPr>
            </w:pPr>
            <w:r w:rsidRPr="00041D97">
              <w:rPr>
                <w:sz w:val="20"/>
                <w:lang w:val="en-US" w:eastAsia="lb-LU"/>
              </w:rPr>
              <w:t>(8)</w:t>
            </w:r>
          </w:p>
        </w:tc>
        <w:tc>
          <w:tcPr>
            <w:tcW w:w="5696" w:type="dxa"/>
            <w:vAlign w:val="center"/>
          </w:tcPr>
          <w:p w:rsidR="00BB166C" w:rsidRPr="00041D97" w:rsidRDefault="00BB166C" w:rsidP="00041D97">
            <w:pPr>
              <w:autoSpaceDE w:val="0"/>
              <w:autoSpaceDN w:val="0"/>
              <w:adjustRightInd w:val="0"/>
              <w:spacing w:before="0" w:line="240" w:lineRule="auto"/>
              <w:rPr>
                <w:sz w:val="20"/>
                <w:lang w:val="en-US" w:eastAsia="lb-LU"/>
              </w:rPr>
            </w:pPr>
            <w:r w:rsidRPr="00041D97">
              <w:rPr>
                <w:sz w:val="20"/>
                <w:lang w:val="en-US" w:eastAsia="lb-LU"/>
              </w:rPr>
              <w:t>d-Limonene</w:t>
            </w:r>
          </w:p>
        </w:tc>
        <w:tc>
          <w:tcPr>
            <w:tcW w:w="2574" w:type="dxa"/>
            <w:vAlign w:val="center"/>
          </w:tcPr>
          <w:p w:rsidR="00BB166C" w:rsidRPr="00041D97" w:rsidRDefault="00BB166C" w:rsidP="00041D97">
            <w:pPr>
              <w:autoSpaceDE w:val="0"/>
              <w:autoSpaceDN w:val="0"/>
              <w:adjustRightInd w:val="0"/>
              <w:spacing w:before="0" w:line="240" w:lineRule="auto"/>
              <w:rPr>
                <w:sz w:val="20"/>
                <w:lang w:val="en-US" w:eastAsia="lb-LU"/>
              </w:rPr>
            </w:pPr>
            <w:r w:rsidRPr="00041D97">
              <w:rPr>
                <w:sz w:val="20"/>
                <w:lang w:val="en-US" w:eastAsia="lb-LU"/>
              </w:rPr>
              <w:t>5989-27-5</w:t>
            </w:r>
          </w:p>
        </w:tc>
      </w:tr>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rPr>
                <w:sz w:val="20"/>
                <w:lang w:val="en-US" w:eastAsia="lb-LU"/>
              </w:rPr>
            </w:pPr>
            <w:r w:rsidRPr="00041D97">
              <w:rPr>
                <w:sz w:val="20"/>
                <w:lang w:val="en-US" w:eastAsia="lb-LU"/>
              </w:rPr>
              <w:t>(9)</w:t>
            </w:r>
          </w:p>
        </w:tc>
        <w:tc>
          <w:tcPr>
            <w:tcW w:w="5696" w:type="dxa"/>
            <w:vAlign w:val="center"/>
          </w:tcPr>
          <w:p w:rsidR="00BB166C" w:rsidRPr="00041D97" w:rsidRDefault="00BB166C" w:rsidP="00041D97">
            <w:pPr>
              <w:autoSpaceDE w:val="0"/>
              <w:autoSpaceDN w:val="0"/>
              <w:adjustRightInd w:val="0"/>
              <w:spacing w:before="0" w:line="240" w:lineRule="auto"/>
              <w:rPr>
                <w:sz w:val="20"/>
                <w:lang w:val="en-US" w:eastAsia="lb-LU"/>
              </w:rPr>
            </w:pPr>
            <w:r w:rsidRPr="00041D97">
              <w:rPr>
                <w:sz w:val="20"/>
                <w:lang w:val="en-US" w:eastAsia="lb-LU"/>
              </w:rPr>
              <w:t>Linalol</w:t>
            </w:r>
          </w:p>
        </w:tc>
        <w:tc>
          <w:tcPr>
            <w:tcW w:w="2574" w:type="dxa"/>
            <w:vAlign w:val="center"/>
          </w:tcPr>
          <w:p w:rsidR="00BB166C" w:rsidRPr="00041D97" w:rsidRDefault="00BB166C" w:rsidP="00041D97">
            <w:pPr>
              <w:autoSpaceDE w:val="0"/>
              <w:autoSpaceDN w:val="0"/>
              <w:adjustRightInd w:val="0"/>
              <w:spacing w:before="0" w:line="240" w:lineRule="auto"/>
              <w:rPr>
                <w:sz w:val="20"/>
                <w:lang w:val="en-US" w:eastAsia="lb-LU"/>
              </w:rPr>
            </w:pPr>
            <w:r w:rsidRPr="00041D97">
              <w:rPr>
                <w:sz w:val="20"/>
                <w:lang w:val="en-US" w:eastAsia="lb-LU"/>
              </w:rPr>
              <w:t>78-70-6</w:t>
            </w:r>
          </w:p>
        </w:tc>
      </w:tr>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rPr>
                <w:sz w:val="20"/>
                <w:lang w:val="en-US" w:eastAsia="lb-LU"/>
              </w:rPr>
            </w:pPr>
            <w:r w:rsidRPr="00041D97">
              <w:rPr>
                <w:sz w:val="20"/>
                <w:lang w:val="en-US" w:eastAsia="lb-LU"/>
              </w:rPr>
              <w:t>(10)</w:t>
            </w:r>
          </w:p>
        </w:tc>
        <w:tc>
          <w:tcPr>
            <w:tcW w:w="5696" w:type="dxa"/>
            <w:vAlign w:val="center"/>
          </w:tcPr>
          <w:p w:rsidR="00BB166C" w:rsidRPr="00041D97" w:rsidRDefault="00BB166C" w:rsidP="00041D97">
            <w:pPr>
              <w:autoSpaceDE w:val="0"/>
              <w:autoSpaceDN w:val="0"/>
              <w:adjustRightInd w:val="0"/>
              <w:spacing w:before="0" w:line="240" w:lineRule="auto"/>
              <w:rPr>
                <w:sz w:val="20"/>
                <w:lang w:val="en-US" w:eastAsia="lb-LU"/>
              </w:rPr>
            </w:pPr>
            <w:r w:rsidRPr="00041D97">
              <w:rPr>
                <w:sz w:val="20"/>
                <w:lang w:val="en-US" w:eastAsia="lb-LU"/>
              </w:rPr>
              <w:t>Methyl heptine carbonate</w:t>
            </w:r>
          </w:p>
        </w:tc>
        <w:tc>
          <w:tcPr>
            <w:tcW w:w="2574" w:type="dxa"/>
            <w:vAlign w:val="center"/>
          </w:tcPr>
          <w:p w:rsidR="00BB166C" w:rsidRPr="00041D97" w:rsidRDefault="00BB166C" w:rsidP="00041D97">
            <w:pPr>
              <w:autoSpaceDE w:val="0"/>
              <w:autoSpaceDN w:val="0"/>
              <w:adjustRightInd w:val="0"/>
              <w:spacing w:before="0" w:line="240" w:lineRule="auto"/>
              <w:rPr>
                <w:sz w:val="20"/>
                <w:lang w:val="en-US" w:eastAsia="lb-LU"/>
              </w:rPr>
            </w:pPr>
            <w:r w:rsidRPr="00041D97">
              <w:rPr>
                <w:sz w:val="20"/>
                <w:lang w:val="en-US" w:eastAsia="lb-LU"/>
              </w:rPr>
              <w:t>111-12-6</w:t>
            </w:r>
          </w:p>
        </w:tc>
      </w:tr>
      <w:tr w:rsidR="00BB166C" w:rsidRPr="000C342D" w:rsidTr="00041D97">
        <w:tc>
          <w:tcPr>
            <w:tcW w:w="550"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(11)</w:t>
            </w:r>
          </w:p>
        </w:tc>
        <w:tc>
          <w:tcPr>
            <w:tcW w:w="5696"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3-méthyl-4-(2,6,6-tri-méthyl-2-cyclohexène-1-yl)-3-butène-2-one</w:t>
            </w:r>
          </w:p>
        </w:tc>
        <w:tc>
          <w:tcPr>
            <w:tcW w:w="2574" w:type="dxa"/>
            <w:vAlign w:val="center"/>
          </w:tcPr>
          <w:p w:rsidR="00BB166C" w:rsidRPr="00041D97" w:rsidRDefault="00BB166C" w:rsidP="00041D97">
            <w:pPr>
              <w:autoSpaceDE w:val="0"/>
              <w:autoSpaceDN w:val="0"/>
              <w:adjustRightInd w:val="0"/>
              <w:spacing w:before="0" w:line="240" w:lineRule="auto"/>
              <w:rPr>
                <w:sz w:val="20"/>
                <w:lang w:eastAsia="lb-LU"/>
              </w:rPr>
            </w:pPr>
            <w:r w:rsidRPr="00041D97">
              <w:rPr>
                <w:sz w:val="20"/>
                <w:lang w:eastAsia="lb-LU"/>
              </w:rPr>
              <w:t>127-51-5</w:t>
            </w:r>
          </w:p>
        </w:tc>
      </w:tr>
    </w:tbl>
    <w:p w:rsidR="00BB166C" w:rsidRPr="000C342D" w:rsidRDefault="00BB166C" w:rsidP="000E01B8">
      <w:pPr>
        <w:pStyle w:val="Point0"/>
        <w:spacing w:before="360" w:line="240" w:lineRule="auto"/>
        <w:ind w:left="851" w:hanging="851"/>
        <w:jc w:val="both"/>
      </w:pPr>
      <w:r w:rsidRPr="000C342D">
        <w:t>12.</w:t>
      </w:r>
      <w:r w:rsidRPr="000C342D">
        <w:tab/>
        <w:t>L'utilisation des substances parfumantes visées aux points 41 à 55 de la liste figurant au point 11, premier alinéa, et celle des substances parfumantes visées aux points 1 à 11 de la liste figurant au point 11, troisième alinéa, sont autorisées dans les jeux de table olfactifs, les ensembles cosmétiques et les jeux gustatifs à condition que</w:t>
      </w:r>
      <w:r>
        <w:t> :</w:t>
      </w:r>
    </w:p>
    <w:p w:rsidR="00BB166C" w:rsidRPr="000C342D" w:rsidRDefault="00BB166C" w:rsidP="000E01B8">
      <w:pPr>
        <w:pStyle w:val="Point3"/>
        <w:spacing w:before="0" w:line="240" w:lineRule="auto"/>
        <w:ind w:left="1980"/>
        <w:jc w:val="both"/>
      </w:pPr>
      <w:r w:rsidRPr="000C342D">
        <w:t>i)</w:t>
      </w:r>
      <w:r w:rsidRPr="000C342D">
        <w:tab/>
        <w:t>ces substances parfumantes soient clairement indiquées sur l'emballage et que ce dernier contienne l'avertissement prévu au point 10 de la partie B de l'annexe V</w:t>
      </w:r>
      <w:r>
        <w:t>,</w:t>
      </w:r>
    </w:p>
    <w:p w:rsidR="00BB166C" w:rsidRPr="00650060" w:rsidRDefault="00BB166C" w:rsidP="000E01B8">
      <w:pPr>
        <w:pStyle w:val="Point3"/>
        <w:spacing w:before="0" w:line="240" w:lineRule="auto"/>
        <w:ind w:left="1980"/>
        <w:jc w:val="both"/>
      </w:pPr>
      <w:r w:rsidRPr="00650060">
        <w:t>ii)</w:t>
      </w:r>
      <w:r w:rsidRPr="00650060">
        <w:tab/>
        <w:t xml:space="preserve">le cas </w:t>
      </w:r>
      <w:r w:rsidRPr="000C342D">
        <w:t>échéant</w:t>
      </w:r>
      <w:r w:rsidRPr="00650060">
        <w:t xml:space="preserve">, les produits fabriqués par l'enfant conformément au mode d'emploi soient conformes aux exigences de la </w:t>
      </w:r>
      <w:r>
        <w:t xml:space="preserve">loi </w:t>
      </w:r>
      <w:r w:rsidRPr="008F4814">
        <w:t>modifiée du 25 septembre 1953 ayant pour objet la réorganisation du contrôle des denrées alimentaires, boissons et produits usuels et les règlements pris en son exécution</w:t>
      </w:r>
      <w:r>
        <w:t>,</w:t>
      </w:r>
    </w:p>
    <w:p w:rsidR="00BB166C" w:rsidRPr="00650060" w:rsidRDefault="00BB166C" w:rsidP="000E01B8">
      <w:pPr>
        <w:pStyle w:val="Point3"/>
        <w:spacing w:before="0" w:line="240" w:lineRule="auto"/>
        <w:ind w:left="1980"/>
        <w:jc w:val="both"/>
      </w:pPr>
      <w:r w:rsidRPr="00650060">
        <w:t>iii)</w:t>
      </w:r>
      <w:r w:rsidRPr="00650060">
        <w:tab/>
        <w:t xml:space="preserve">le cas échéant, ces substances parfumantes soient conformes </w:t>
      </w:r>
      <w:r w:rsidRPr="00243E09">
        <w:t>à la législation</w:t>
      </w:r>
      <w:r w:rsidRPr="00650060">
        <w:t xml:space="preserve"> pertinent</w:t>
      </w:r>
      <w:r>
        <w:t>e</w:t>
      </w:r>
      <w:r w:rsidRPr="00650060">
        <w:t xml:space="preserve"> relati</w:t>
      </w:r>
      <w:r>
        <w:t>ve</w:t>
      </w:r>
      <w:r w:rsidRPr="00650060">
        <w:t xml:space="preserve"> aux denrées alimentaires.</w:t>
      </w:r>
    </w:p>
    <w:p w:rsidR="00BB166C" w:rsidRPr="000C342D" w:rsidRDefault="00BB166C" w:rsidP="000E01B8">
      <w:pPr>
        <w:pStyle w:val="QuotedText"/>
        <w:spacing w:before="0" w:line="240" w:lineRule="auto"/>
        <w:ind w:left="900"/>
        <w:jc w:val="both"/>
      </w:pPr>
      <w:r w:rsidRPr="000C342D">
        <w:t>Ces jeux olfactifs, ensembles cosmétiques et jeux gustatifs ne peuvent être utilisés par des enfants de moins de 36 mois et doivent être conformes au point 1 de la partie B de l'annexe V.</w:t>
      </w:r>
    </w:p>
    <w:p w:rsidR="00BB166C" w:rsidRPr="000C342D" w:rsidRDefault="00BB166C" w:rsidP="000E01B8">
      <w:pPr>
        <w:pStyle w:val="Point0"/>
        <w:spacing w:before="0" w:after="360" w:line="240" w:lineRule="auto"/>
        <w:ind w:left="851" w:hanging="851"/>
        <w:jc w:val="both"/>
      </w:pPr>
      <w:r w:rsidRPr="000C342D">
        <w:t>13.</w:t>
      </w:r>
      <w:r w:rsidRPr="000C342D">
        <w:tab/>
        <w:t>Sans préjudice des points 3, 4 et 5, les limites de migration ci</w:t>
      </w:r>
      <w:r>
        <w:t>-</w:t>
      </w:r>
      <w:r w:rsidRPr="000C342D">
        <w:t>après des jouets ou composants de jouets ne doivent pas être dépassées</w:t>
      </w:r>
      <w:r>
        <w:t>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160"/>
        <w:gridCol w:w="2160"/>
        <w:gridCol w:w="2366"/>
      </w:tblGrid>
      <w:tr w:rsidR="00BB166C" w:rsidRPr="000C342D" w:rsidTr="00041D97">
        <w:tc>
          <w:tcPr>
            <w:tcW w:w="2160" w:type="dxa"/>
            <w:vAlign w:val="center"/>
          </w:tcPr>
          <w:p w:rsidR="00BB166C" w:rsidRPr="00041D97" w:rsidRDefault="00BB166C" w:rsidP="00041D97">
            <w:pPr>
              <w:spacing w:before="0" w:line="240" w:lineRule="auto"/>
              <w:jc w:val="center"/>
              <w:rPr>
                <w:sz w:val="22"/>
                <w:szCs w:val="22"/>
                <w:lang w:eastAsia="lb-LU"/>
              </w:rPr>
            </w:pPr>
            <w:r w:rsidRPr="00041D97">
              <w:rPr>
                <w:b/>
                <w:sz w:val="22"/>
                <w:szCs w:val="22"/>
                <w:lang w:eastAsia="lb-LU"/>
              </w:rPr>
              <w:t>Élément</w:t>
            </w:r>
          </w:p>
        </w:tc>
        <w:tc>
          <w:tcPr>
            <w:tcW w:w="2160" w:type="dxa"/>
            <w:vAlign w:val="center"/>
          </w:tcPr>
          <w:p w:rsidR="00BB166C" w:rsidRPr="00041D97" w:rsidRDefault="00BB166C" w:rsidP="00041D97">
            <w:pPr>
              <w:spacing w:before="0" w:line="240" w:lineRule="auto"/>
              <w:jc w:val="center"/>
              <w:rPr>
                <w:sz w:val="22"/>
                <w:szCs w:val="22"/>
                <w:lang w:eastAsia="lb-LU"/>
              </w:rPr>
            </w:pPr>
            <w:r w:rsidRPr="00041D97">
              <w:rPr>
                <w:b/>
                <w:sz w:val="22"/>
                <w:szCs w:val="22"/>
                <w:lang w:eastAsia="lb-LU"/>
              </w:rPr>
              <w:t>mg/kg de matière de jouet sèche, friable, poudreuse ou souple</w:t>
            </w:r>
          </w:p>
        </w:tc>
        <w:tc>
          <w:tcPr>
            <w:tcW w:w="2160" w:type="dxa"/>
            <w:vAlign w:val="center"/>
          </w:tcPr>
          <w:p w:rsidR="00BB166C" w:rsidRPr="00041D97" w:rsidRDefault="00BB166C" w:rsidP="00041D97">
            <w:pPr>
              <w:spacing w:before="0" w:line="240" w:lineRule="auto"/>
              <w:jc w:val="center"/>
              <w:rPr>
                <w:b/>
                <w:sz w:val="22"/>
                <w:szCs w:val="22"/>
                <w:lang w:eastAsia="lb-LU"/>
              </w:rPr>
            </w:pPr>
            <w:r w:rsidRPr="00041D97">
              <w:rPr>
                <w:b/>
                <w:sz w:val="22"/>
                <w:szCs w:val="22"/>
                <w:lang w:eastAsia="lb-LU"/>
              </w:rPr>
              <w:t>mg/kg</w:t>
            </w:r>
          </w:p>
          <w:p w:rsidR="00BB166C" w:rsidRPr="00041D97" w:rsidRDefault="00BB166C" w:rsidP="00041D97">
            <w:pPr>
              <w:spacing w:before="0" w:line="240" w:lineRule="auto"/>
              <w:jc w:val="center"/>
              <w:rPr>
                <w:sz w:val="22"/>
                <w:szCs w:val="22"/>
                <w:lang w:eastAsia="lb-LU"/>
              </w:rPr>
            </w:pPr>
            <w:r w:rsidRPr="00041D97">
              <w:rPr>
                <w:b/>
                <w:sz w:val="22"/>
                <w:szCs w:val="22"/>
                <w:lang w:eastAsia="lb-LU"/>
              </w:rPr>
              <w:t>de matière de jouet liquide ou collante</w:t>
            </w:r>
          </w:p>
        </w:tc>
        <w:tc>
          <w:tcPr>
            <w:tcW w:w="2366" w:type="dxa"/>
            <w:vAlign w:val="center"/>
          </w:tcPr>
          <w:p w:rsidR="00BB166C" w:rsidRPr="00041D97" w:rsidRDefault="00BB166C" w:rsidP="00041D97">
            <w:pPr>
              <w:spacing w:before="0" w:line="240" w:lineRule="auto"/>
              <w:jc w:val="center"/>
              <w:rPr>
                <w:b/>
                <w:sz w:val="22"/>
                <w:szCs w:val="22"/>
                <w:lang w:eastAsia="lb-LU"/>
              </w:rPr>
            </w:pPr>
            <w:r w:rsidRPr="00041D97">
              <w:rPr>
                <w:b/>
                <w:sz w:val="22"/>
                <w:szCs w:val="22"/>
                <w:lang w:eastAsia="lb-LU"/>
              </w:rPr>
              <w:t>mg/kg</w:t>
            </w:r>
          </w:p>
          <w:p w:rsidR="00BB166C" w:rsidRPr="00041D97" w:rsidRDefault="00BB166C" w:rsidP="00041D97">
            <w:pPr>
              <w:tabs>
                <w:tab w:val="left" w:pos="3168"/>
                <w:tab w:val="left" w:pos="5328"/>
                <w:tab w:val="left" w:pos="7488"/>
              </w:tabs>
              <w:spacing w:before="0" w:line="240" w:lineRule="auto"/>
              <w:jc w:val="center"/>
              <w:rPr>
                <w:b/>
                <w:sz w:val="22"/>
                <w:szCs w:val="22"/>
                <w:lang w:eastAsia="lb-LU"/>
              </w:rPr>
            </w:pPr>
            <w:r w:rsidRPr="00041D97">
              <w:rPr>
                <w:b/>
                <w:sz w:val="22"/>
                <w:szCs w:val="22"/>
                <w:lang w:eastAsia="lb-LU"/>
              </w:rPr>
              <w:t>de matière grattée du jouet</w:t>
            </w:r>
          </w:p>
          <w:p w:rsidR="00BB166C" w:rsidRPr="00041D97" w:rsidRDefault="00BB166C" w:rsidP="00041D97">
            <w:pPr>
              <w:spacing w:before="0" w:line="240" w:lineRule="auto"/>
              <w:jc w:val="center"/>
              <w:rPr>
                <w:sz w:val="22"/>
                <w:szCs w:val="22"/>
                <w:lang w:eastAsia="lb-LU"/>
              </w:rPr>
            </w:pP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Aluminium</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5 625</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1 406</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70 000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Antimoine</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45</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11,3</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560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Arsenic</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3,8</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0,9</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47</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Baryum</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4 500</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1 125</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56 000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Bore</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1 200</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300</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15 000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Cadmium</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1,9</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0,5</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23</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Chrome (III)</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37,5</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9,4</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460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Chrome (VI)</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0,02</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0,005</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0,2</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Cobalt</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10,5</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2,6</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130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Cuivre</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622,5</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156</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7 700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Plomb</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13,5</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3,4</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160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Manganèse</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1 200</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300</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15 000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Mercure</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7,5</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1,9</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94</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Nickel</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75</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18,8</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930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Sélénium</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37,5</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9,4</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460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Strontium</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4 500</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1 125</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56 000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Étain</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15 000</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3 750</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180 000</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Étain organique</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0,9</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0,2</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12</w:t>
            </w:r>
          </w:p>
        </w:tc>
      </w:tr>
      <w:tr w:rsidR="00BB166C" w:rsidRPr="000C342D" w:rsidTr="00041D97">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Zinc</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3 750</w:t>
            </w:r>
          </w:p>
        </w:tc>
        <w:tc>
          <w:tcPr>
            <w:tcW w:w="2160"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938</w:t>
            </w:r>
          </w:p>
        </w:tc>
        <w:tc>
          <w:tcPr>
            <w:tcW w:w="2366" w:type="dxa"/>
            <w:vAlign w:val="center"/>
          </w:tcPr>
          <w:p w:rsidR="00BB166C" w:rsidRPr="00041D97" w:rsidRDefault="00BB166C" w:rsidP="00041D97">
            <w:pPr>
              <w:spacing w:before="0" w:line="240" w:lineRule="auto"/>
              <w:rPr>
                <w:sz w:val="22"/>
                <w:szCs w:val="22"/>
                <w:lang w:eastAsia="lb-LU"/>
              </w:rPr>
            </w:pPr>
            <w:r w:rsidRPr="00041D97">
              <w:rPr>
                <w:sz w:val="22"/>
                <w:szCs w:val="22"/>
                <w:lang w:eastAsia="lb-LU"/>
              </w:rPr>
              <w:t>46 000</w:t>
            </w:r>
          </w:p>
        </w:tc>
      </w:tr>
    </w:tbl>
    <w:p w:rsidR="00BB166C" w:rsidRPr="000C342D" w:rsidRDefault="00BB166C" w:rsidP="000E01B8">
      <w:pPr>
        <w:pStyle w:val="Point1"/>
        <w:spacing w:before="360" w:after="240" w:line="240" w:lineRule="auto"/>
        <w:ind w:left="851" w:firstLine="0"/>
        <w:jc w:val="both"/>
      </w:pPr>
      <w:r w:rsidRPr="000C342D">
        <w:t>Ces valeurs limites ne s'appliquent pas aux jouets</w:t>
      </w:r>
      <w:r w:rsidRPr="005A6E31">
        <w:t xml:space="preserve"> ou composants de jouets</w:t>
      </w:r>
      <w:r w:rsidRPr="000C342D">
        <w:t xml:space="preserve"> qui, en raison de leur accessibilité, de leur fonction, de leur volume ou de leur masse, excluent tout danger par </w:t>
      </w:r>
      <w:r w:rsidRPr="005A6E31">
        <w:t>succion,</w:t>
      </w:r>
      <w:r w:rsidRPr="000C342D">
        <w:t xml:space="preserve"> léchage, ingestion ou contact prolongé avec la peau, lorsqu'ils sont utilisés dans les </w:t>
      </w:r>
      <w:r>
        <w:t>conditions définies à l'article 1</w:t>
      </w:r>
      <w:r w:rsidRPr="000C342D">
        <w:t>0, paragraphe 2, premier alinéa.</w:t>
      </w:r>
    </w:p>
    <w:p w:rsidR="00BB166C" w:rsidRPr="000C342D" w:rsidRDefault="00BB166C" w:rsidP="000E01B8">
      <w:pPr>
        <w:pStyle w:val="Point0"/>
        <w:spacing w:before="0" w:line="240" w:lineRule="auto"/>
        <w:outlineLvl w:val="0"/>
        <w:rPr>
          <w:b/>
        </w:rPr>
      </w:pPr>
      <w:r w:rsidRPr="000C342D">
        <w:rPr>
          <w:b/>
        </w:rPr>
        <w:t>IV.</w:t>
      </w:r>
      <w:r w:rsidRPr="000C342D">
        <w:rPr>
          <w:b/>
        </w:rPr>
        <w:tab/>
        <w:t>Propriétés électriques</w:t>
      </w:r>
    </w:p>
    <w:p w:rsidR="00BB166C" w:rsidRPr="000C342D" w:rsidRDefault="00BB166C" w:rsidP="000E01B8">
      <w:pPr>
        <w:pStyle w:val="Point0"/>
        <w:spacing w:before="0" w:line="240" w:lineRule="auto"/>
        <w:ind w:left="851" w:hanging="851"/>
        <w:jc w:val="both"/>
      </w:pPr>
      <w:r w:rsidRPr="000C342D">
        <w:t>1.</w:t>
      </w:r>
      <w:r w:rsidRPr="000C342D">
        <w:tab/>
        <w:t xml:space="preserve">Les jouets </w:t>
      </w:r>
      <w:r w:rsidRPr="00435396">
        <w:t>et leurs pièces accessibles sont alimentés par une tension qui n’excède pas 24 volts</w:t>
      </w:r>
      <w:r w:rsidRPr="000C342D">
        <w:t xml:space="preserve"> de courant continu ou l'équivalent en courant alternatif</w:t>
      </w:r>
      <w:r>
        <w:t>.</w:t>
      </w:r>
    </w:p>
    <w:p w:rsidR="00BB166C" w:rsidRPr="000C342D" w:rsidRDefault="00BB166C" w:rsidP="000E01B8">
      <w:pPr>
        <w:pStyle w:val="QuotedText"/>
        <w:spacing w:before="0" w:line="240" w:lineRule="auto"/>
        <w:ind w:left="900"/>
        <w:jc w:val="both"/>
        <w:rPr>
          <w:lang w:eastAsia="de-DE"/>
        </w:rPr>
      </w:pPr>
      <w:r w:rsidRPr="000C342D">
        <w:t xml:space="preserve">Les voltages internes </w:t>
      </w:r>
      <w:r w:rsidRPr="000627A4">
        <w:t>n’excèdent</w:t>
      </w:r>
      <w:r w:rsidRPr="000C342D">
        <w:t xml:space="preserve"> pas 24 volts de courant direct ou l'équivalent en courant alternatif, à moins que ne soit garanti que le voltage et la combinaison actuelle générée ne comporte aucun risque de choc électrique nuisible, même si le jouet est cassé.</w:t>
      </w:r>
    </w:p>
    <w:p w:rsidR="00BB166C" w:rsidRPr="000C342D" w:rsidRDefault="00BB166C" w:rsidP="000E01B8">
      <w:pPr>
        <w:pStyle w:val="Point0"/>
        <w:spacing w:before="0" w:line="240" w:lineRule="auto"/>
        <w:ind w:left="851" w:hanging="851"/>
        <w:jc w:val="both"/>
      </w:pPr>
      <w:r w:rsidRPr="000C342D">
        <w:t>2.</w:t>
      </w:r>
      <w:r w:rsidRPr="000C342D">
        <w:tab/>
        <w:t>Les pièces des jouets qui sont en contact ou susceptibles d'être en contact avec une source d'électricité capable de provoquer un choc électrique, ainsi que les câbles ou autres fils conducteurs par lesquels l'électricité est conduite à ces pièces doivent être bien isolées et mécaniquement protégés afin de prévenir le risque d'un tel choc.</w:t>
      </w:r>
    </w:p>
    <w:p w:rsidR="00BB166C" w:rsidRPr="000C342D" w:rsidRDefault="00BB166C" w:rsidP="000E01B8">
      <w:pPr>
        <w:pStyle w:val="Point0"/>
        <w:spacing w:before="0" w:line="240" w:lineRule="auto"/>
        <w:ind w:left="851" w:hanging="851"/>
        <w:jc w:val="both"/>
      </w:pPr>
      <w:r w:rsidRPr="000C342D">
        <w:t>3.</w:t>
      </w:r>
      <w:r w:rsidRPr="000C342D">
        <w:tab/>
        <w:t>Les jouets électriques doivent être conçus et fabriqués de manière à garantir que les températures maximales atteintes par toutes surfaces directement accessibles ne causent pas de brûlures lors d'un contact.</w:t>
      </w:r>
    </w:p>
    <w:p w:rsidR="00BB166C" w:rsidRPr="000C342D" w:rsidRDefault="00BB166C" w:rsidP="000E01B8">
      <w:pPr>
        <w:pStyle w:val="Point0"/>
        <w:spacing w:before="0" w:line="240" w:lineRule="auto"/>
        <w:ind w:left="851" w:hanging="851"/>
        <w:jc w:val="both"/>
      </w:pPr>
      <w:r w:rsidRPr="000C342D">
        <w:t>4.</w:t>
      </w:r>
      <w:r w:rsidRPr="000C342D">
        <w:tab/>
        <w:t>Lors de pannes prévisibles, les jouets doivent fournir une protection contre les risques liés à l'électricité résultant d'une source d'énergie électrique.</w:t>
      </w:r>
    </w:p>
    <w:p w:rsidR="00BB166C" w:rsidRPr="000C342D" w:rsidRDefault="00BB166C" w:rsidP="000E01B8">
      <w:pPr>
        <w:pStyle w:val="Point0"/>
        <w:spacing w:before="0" w:line="240" w:lineRule="auto"/>
        <w:ind w:left="851" w:hanging="851"/>
        <w:jc w:val="both"/>
      </w:pPr>
      <w:r w:rsidRPr="000C342D">
        <w:t>5.</w:t>
      </w:r>
      <w:r w:rsidRPr="000C342D">
        <w:tab/>
        <w:t>Les jouets doivent assurer une protection adéquate contre les risques d'incendie.</w:t>
      </w:r>
    </w:p>
    <w:p w:rsidR="00BB166C" w:rsidRPr="000C342D" w:rsidRDefault="00BB166C" w:rsidP="000E01B8">
      <w:pPr>
        <w:pStyle w:val="Point0"/>
        <w:spacing w:before="0" w:line="240" w:lineRule="auto"/>
        <w:ind w:left="851" w:hanging="851"/>
        <w:jc w:val="both"/>
      </w:pPr>
      <w:r w:rsidRPr="000C342D">
        <w:t>6.</w:t>
      </w:r>
      <w:r w:rsidRPr="000C342D">
        <w:tab/>
        <w:t xml:space="preserve">Les jouets électriques doivent être conçus et fabriqués de telle sorte que les champs électriques, magnétiques et électromagnétiques et les autres radiations générées par le matériel soient limités à ce qui est nécessaire pour le fonctionnement </w:t>
      </w:r>
      <w:r w:rsidRPr="000627A4">
        <w:t>du jouet,</w:t>
      </w:r>
      <w:r w:rsidRPr="000C342D">
        <w:t xml:space="preserve"> et </w:t>
      </w:r>
      <w:r w:rsidRPr="000627A4">
        <w:t xml:space="preserve">doivent </w:t>
      </w:r>
      <w:r w:rsidRPr="000C342D">
        <w:t>fonctionner à un niveau sûr, conformément à l'état généralement reconnu de la technique, compte dûment tenu des mesures communautaires spécifiques.</w:t>
      </w:r>
    </w:p>
    <w:p w:rsidR="00BB166C" w:rsidRPr="000C342D" w:rsidRDefault="00BB166C" w:rsidP="000E01B8">
      <w:pPr>
        <w:pStyle w:val="Point0"/>
        <w:spacing w:before="0" w:line="240" w:lineRule="auto"/>
        <w:ind w:left="851" w:hanging="851"/>
        <w:jc w:val="both"/>
      </w:pPr>
      <w:r w:rsidRPr="000C342D">
        <w:t>7.</w:t>
      </w:r>
      <w:r w:rsidRPr="000C342D">
        <w:tab/>
        <w:t>Les jouets dotés d'un système de commande électronique doivent être conçus et fabriqués de manière à fonctionner en toute sécurité, même en cas de dysfonctionnement ou de panne découlant d'une défaillance du système lui-même ou d'un facteur extérieur.</w:t>
      </w:r>
    </w:p>
    <w:p w:rsidR="00BB166C" w:rsidRPr="000C342D" w:rsidRDefault="00BB166C" w:rsidP="000E01B8">
      <w:pPr>
        <w:pStyle w:val="Point0"/>
        <w:spacing w:before="0" w:line="240" w:lineRule="auto"/>
        <w:ind w:left="851" w:hanging="851"/>
        <w:jc w:val="both"/>
      </w:pPr>
      <w:r w:rsidRPr="000C342D">
        <w:t>8.</w:t>
      </w:r>
      <w:r w:rsidRPr="000C342D">
        <w:tab/>
        <w:t>Les jouets doivent être conçus et fabriqués de manière à ne présenter aucun risque pour la santé et aucun risque de blessures aux yeux ou à la peau par des lasers, des diodes électroluminescentes ou tout autre type de radiation.</w:t>
      </w:r>
    </w:p>
    <w:p w:rsidR="00BB166C" w:rsidRPr="000C342D" w:rsidRDefault="00BB166C" w:rsidP="000E01B8">
      <w:pPr>
        <w:pStyle w:val="Point0"/>
        <w:spacing w:before="0" w:after="240" w:line="240" w:lineRule="auto"/>
        <w:ind w:left="851" w:hanging="851"/>
        <w:jc w:val="both"/>
      </w:pPr>
      <w:r w:rsidRPr="000C342D">
        <w:t>9.</w:t>
      </w:r>
      <w:r w:rsidRPr="000C342D">
        <w:tab/>
        <w:t>Le transformateur électrique pour jouets ne fait pas partie intégrante du jouet.</w:t>
      </w:r>
    </w:p>
    <w:p w:rsidR="00BB166C" w:rsidRPr="000C342D" w:rsidRDefault="00BB166C" w:rsidP="000E01B8">
      <w:pPr>
        <w:pStyle w:val="Point0"/>
        <w:spacing w:before="0" w:line="240" w:lineRule="auto"/>
        <w:outlineLvl w:val="0"/>
        <w:rPr>
          <w:b/>
        </w:rPr>
      </w:pPr>
      <w:r w:rsidRPr="000C342D">
        <w:rPr>
          <w:b/>
        </w:rPr>
        <w:t>V.</w:t>
      </w:r>
      <w:r w:rsidRPr="000C342D">
        <w:rPr>
          <w:b/>
        </w:rPr>
        <w:tab/>
        <w:t>Hygiène</w:t>
      </w:r>
    </w:p>
    <w:p w:rsidR="00BB166C" w:rsidRPr="000C342D" w:rsidRDefault="00BB166C" w:rsidP="000E01B8">
      <w:pPr>
        <w:pStyle w:val="Point0"/>
        <w:spacing w:before="0" w:line="240" w:lineRule="auto"/>
        <w:ind w:left="851" w:hanging="851"/>
        <w:jc w:val="both"/>
      </w:pPr>
      <w:r w:rsidRPr="000C342D">
        <w:t>1.</w:t>
      </w:r>
      <w:r w:rsidRPr="000C342D">
        <w:tab/>
        <w:t xml:space="preserve">Les jouets doivent être conçus et fabriqués de façon à satisfaire aux conditions d'hygiène et de propreté afin d'éviter </w:t>
      </w:r>
      <w:r>
        <w:t>tout</w:t>
      </w:r>
      <w:r w:rsidRPr="000C342D">
        <w:t xml:space="preserve"> risque d'infection, de maladie et de contamination.</w:t>
      </w:r>
    </w:p>
    <w:p w:rsidR="00BB166C" w:rsidRPr="000C342D" w:rsidRDefault="00BB166C" w:rsidP="000E01B8">
      <w:pPr>
        <w:pStyle w:val="Point0"/>
        <w:spacing w:before="0" w:after="240" w:line="240" w:lineRule="auto"/>
        <w:ind w:left="851" w:hanging="851"/>
        <w:jc w:val="both"/>
      </w:pPr>
      <w:r w:rsidRPr="000C342D">
        <w:t>2.</w:t>
      </w:r>
      <w:r w:rsidRPr="000C342D">
        <w:tab/>
        <w:t xml:space="preserve">Les jouets destinés </w:t>
      </w:r>
      <w:r w:rsidRPr="000627A4">
        <w:t>à l’usage d’</w:t>
      </w:r>
      <w:r w:rsidRPr="000C342D">
        <w:t>enfants de moins de 36 mois doivent être conçus et fabriqués de manière à pouvoir être nettoyés. À cet effet, les jouets en textile sont lavables, sauf s'ils contiennent un mécanisme susceptible d'être endommagé au lavage</w:t>
      </w:r>
      <w:r w:rsidRPr="000627A4">
        <w:t xml:space="preserve"> à grandes eaux.</w:t>
      </w:r>
      <w:r w:rsidRPr="000C342D">
        <w:t xml:space="preserve"> Les jouets doivent continuer de remplir les conditions de sécurité après le lavage conformément au présent paragraphe et aux consignes du fabricant.</w:t>
      </w:r>
    </w:p>
    <w:p w:rsidR="00BB166C" w:rsidRPr="000C342D" w:rsidRDefault="00BB166C" w:rsidP="000E01B8">
      <w:pPr>
        <w:pStyle w:val="Point0"/>
        <w:spacing w:before="0" w:line="240" w:lineRule="auto"/>
        <w:outlineLvl w:val="0"/>
        <w:rPr>
          <w:b/>
        </w:rPr>
      </w:pPr>
      <w:r w:rsidRPr="000C342D">
        <w:rPr>
          <w:b/>
        </w:rPr>
        <w:t>VI.</w:t>
      </w:r>
      <w:r w:rsidRPr="000C342D">
        <w:rPr>
          <w:b/>
        </w:rPr>
        <w:tab/>
        <w:t>Radioactivité</w:t>
      </w:r>
    </w:p>
    <w:p w:rsidR="00BB166C" w:rsidRPr="000C342D" w:rsidRDefault="00BB166C" w:rsidP="000E01B8">
      <w:pPr>
        <w:pStyle w:val="Text1"/>
        <w:spacing w:before="0" w:after="240" w:line="240" w:lineRule="auto"/>
        <w:ind w:left="0"/>
        <w:jc w:val="both"/>
      </w:pPr>
      <w:r w:rsidRPr="000C342D">
        <w:t>Les jouets doivent être conformes à l'ensemble des dispositions applicables au titre du chapitre III du traité instituant la Communauté européenne de l'énergie atomique.</w:t>
      </w:r>
    </w:p>
    <w:p w:rsidR="00BB166C" w:rsidRPr="000C342D" w:rsidRDefault="00BB166C" w:rsidP="000E01B8">
      <w:pPr>
        <w:pStyle w:val="NormalCentered"/>
        <w:spacing w:before="0" w:line="240" w:lineRule="auto"/>
        <w:outlineLvl w:val="0"/>
        <w:rPr>
          <w:b/>
        </w:rPr>
      </w:pPr>
      <w:r w:rsidRPr="000C342D">
        <w:rPr>
          <w:b/>
        </w:rPr>
        <w:t>Appendice A</w:t>
      </w:r>
    </w:p>
    <w:p w:rsidR="00BB166C" w:rsidRPr="000C342D" w:rsidRDefault="00BB166C" w:rsidP="000E01B8">
      <w:pPr>
        <w:pStyle w:val="NormalCentered"/>
        <w:spacing w:before="0" w:line="240" w:lineRule="auto"/>
      </w:pPr>
      <w:r w:rsidRPr="000C342D">
        <w:t>Liste des substances CMR et de leurs utilisations autorisées</w:t>
      </w:r>
      <w:r w:rsidRPr="000C342D">
        <w:br/>
        <w:t>conformément à l'annexe II, partie III, points 4, 5 et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3096"/>
        <w:gridCol w:w="3097"/>
      </w:tblGrid>
      <w:tr w:rsidR="00BB166C" w:rsidRPr="000C342D" w:rsidTr="00041D97">
        <w:trPr>
          <w:trHeight w:val="567"/>
          <w:jc w:val="center"/>
        </w:trPr>
        <w:tc>
          <w:tcPr>
            <w:tcW w:w="3096" w:type="dxa"/>
          </w:tcPr>
          <w:p w:rsidR="00BB166C" w:rsidRPr="00041D97" w:rsidRDefault="00BB166C" w:rsidP="00041D97">
            <w:pPr>
              <w:spacing w:before="0" w:line="240" w:lineRule="auto"/>
              <w:rPr>
                <w:sz w:val="20"/>
                <w:lang w:eastAsia="lb-LU"/>
              </w:rPr>
            </w:pPr>
            <w:r w:rsidRPr="00041D97">
              <w:rPr>
                <w:sz w:val="20"/>
                <w:lang w:eastAsia="lb-LU"/>
              </w:rPr>
              <w:t>Substance</w:t>
            </w:r>
          </w:p>
        </w:tc>
        <w:tc>
          <w:tcPr>
            <w:tcW w:w="3096" w:type="dxa"/>
          </w:tcPr>
          <w:p w:rsidR="00BB166C" w:rsidRPr="00041D97" w:rsidRDefault="00BB166C" w:rsidP="00041D97">
            <w:pPr>
              <w:spacing w:before="0" w:line="240" w:lineRule="auto"/>
              <w:rPr>
                <w:sz w:val="20"/>
                <w:lang w:eastAsia="lb-LU"/>
              </w:rPr>
            </w:pPr>
            <w:r w:rsidRPr="00041D97">
              <w:rPr>
                <w:sz w:val="20"/>
                <w:lang w:eastAsia="lb-LU"/>
              </w:rPr>
              <w:t>Classification</w:t>
            </w:r>
          </w:p>
        </w:tc>
        <w:tc>
          <w:tcPr>
            <w:tcW w:w="3097" w:type="dxa"/>
          </w:tcPr>
          <w:p w:rsidR="00BB166C" w:rsidRPr="00041D97" w:rsidRDefault="00BB166C" w:rsidP="00041D97">
            <w:pPr>
              <w:spacing w:before="0" w:line="240" w:lineRule="auto"/>
              <w:rPr>
                <w:sz w:val="20"/>
                <w:lang w:eastAsia="lb-LU"/>
              </w:rPr>
            </w:pPr>
            <w:r w:rsidRPr="00041D97">
              <w:rPr>
                <w:sz w:val="20"/>
                <w:lang w:eastAsia="lb-LU"/>
              </w:rPr>
              <w:t>Utilisation autorisée</w:t>
            </w:r>
          </w:p>
        </w:tc>
      </w:tr>
      <w:tr w:rsidR="00BB166C" w:rsidRPr="000C342D" w:rsidTr="00041D97">
        <w:trPr>
          <w:trHeight w:val="567"/>
          <w:jc w:val="center"/>
        </w:trPr>
        <w:tc>
          <w:tcPr>
            <w:tcW w:w="3096" w:type="dxa"/>
          </w:tcPr>
          <w:p w:rsidR="00BB166C" w:rsidRPr="00041D97" w:rsidRDefault="00BB166C" w:rsidP="00041D97">
            <w:pPr>
              <w:spacing w:before="0" w:line="240" w:lineRule="auto"/>
              <w:rPr>
                <w:sz w:val="20"/>
                <w:lang w:eastAsia="lb-LU"/>
              </w:rPr>
            </w:pPr>
            <w:r w:rsidRPr="00041D97">
              <w:rPr>
                <w:sz w:val="20"/>
                <w:lang w:eastAsia="lb-LU"/>
              </w:rPr>
              <w:t>Nickel</w:t>
            </w:r>
          </w:p>
        </w:tc>
        <w:tc>
          <w:tcPr>
            <w:tcW w:w="3096" w:type="dxa"/>
          </w:tcPr>
          <w:p w:rsidR="00BB166C" w:rsidRPr="00041D97" w:rsidRDefault="00BB166C" w:rsidP="00041D97">
            <w:pPr>
              <w:spacing w:before="0" w:line="240" w:lineRule="auto"/>
              <w:rPr>
                <w:sz w:val="20"/>
                <w:lang w:eastAsia="lb-LU"/>
              </w:rPr>
            </w:pPr>
            <w:r w:rsidRPr="00041D97">
              <w:rPr>
                <w:sz w:val="20"/>
                <w:lang w:eastAsia="lb-LU"/>
              </w:rPr>
              <w:t>CMR 2</w:t>
            </w:r>
            <w:r w:rsidRPr="00041D97">
              <w:rPr>
                <w:b/>
                <w:sz w:val="20"/>
                <w:vertAlign w:val="superscript"/>
                <w:lang w:eastAsia="lb-LU"/>
              </w:rPr>
              <w:t>1</w:t>
            </w:r>
          </w:p>
        </w:tc>
        <w:tc>
          <w:tcPr>
            <w:tcW w:w="3097" w:type="dxa"/>
          </w:tcPr>
          <w:p w:rsidR="00BB166C" w:rsidRPr="00041D97" w:rsidRDefault="00BB166C" w:rsidP="00041D97">
            <w:pPr>
              <w:spacing w:before="0" w:line="240" w:lineRule="auto"/>
              <w:rPr>
                <w:sz w:val="20"/>
                <w:lang w:eastAsia="lb-LU"/>
              </w:rPr>
            </w:pPr>
            <w:r w:rsidRPr="00041D97">
              <w:rPr>
                <w:sz w:val="20"/>
                <w:lang w:eastAsia="lb-LU"/>
              </w:rPr>
              <w:t>Dans l'acier inoxydable</w:t>
            </w:r>
          </w:p>
        </w:tc>
      </w:tr>
    </w:tbl>
    <w:p w:rsidR="00BB166C" w:rsidRPr="000C342D" w:rsidRDefault="00BB166C" w:rsidP="000E01B8">
      <w:pPr>
        <w:pStyle w:val="NormalCentered"/>
        <w:spacing w:before="240" w:line="240" w:lineRule="auto"/>
        <w:outlineLvl w:val="0"/>
        <w:rPr>
          <w:b/>
        </w:rPr>
      </w:pPr>
      <w:r w:rsidRPr="000C342D">
        <w:rPr>
          <w:b/>
        </w:rPr>
        <w:t>Appendice B</w:t>
      </w:r>
    </w:p>
    <w:p w:rsidR="00BB166C" w:rsidRPr="000C342D" w:rsidRDefault="00BB166C" w:rsidP="000E01B8">
      <w:pPr>
        <w:pStyle w:val="NormalCentered"/>
        <w:spacing w:before="0" w:line="240" w:lineRule="auto"/>
        <w:outlineLvl w:val="0"/>
      </w:pPr>
      <w:r w:rsidRPr="000C342D">
        <w:t>Classification des substances et mélanges</w:t>
      </w:r>
    </w:p>
    <w:p w:rsidR="00BB166C" w:rsidRPr="000C342D" w:rsidRDefault="00BB166C" w:rsidP="000E01B8">
      <w:pPr>
        <w:spacing w:before="0" w:line="240" w:lineRule="auto"/>
        <w:jc w:val="both"/>
      </w:pPr>
      <w:r w:rsidRPr="00B60C60">
        <w:t>Eu égard au calendrier d'application du règlement (CE) n° 1272/2008, des possibilités de renvoi</w:t>
      </w:r>
      <w:r w:rsidRPr="000C342D">
        <w:t xml:space="preserve"> équivalentes à une classification déterminée devraient être utilisées à différents moments.</w:t>
      </w:r>
    </w:p>
    <w:p w:rsidR="00BB166C" w:rsidRPr="000C342D" w:rsidRDefault="00BB166C" w:rsidP="000E01B8">
      <w:pPr>
        <w:pStyle w:val="Point0"/>
        <w:spacing w:before="0" w:line="240" w:lineRule="auto"/>
        <w:ind w:left="851" w:hanging="851"/>
        <w:jc w:val="both"/>
      </w:pPr>
      <w:r w:rsidRPr="000C342D">
        <w:t>1.</w:t>
      </w:r>
      <w:r w:rsidRPr="000C342D">
        <w:tab/>
        <w:t xml:space="preserve">Critères de classification des substances et mélanges aux fins </w:t>
      </w:r>
      <w:r w:rsidRPr="00FD75F7">
        <w:t>du point 2 de la partie III</w:t>
      </w:r>
    </w:p>
    <w:p w:rsidR="00BB166C" w:rsidRPr="000C342D" w:rsidRDefault="00BB166C" w:rsidP="000E01B8">
      <w:pPr>
        <w:pStyle w:val="Point1"/>
        <w:spacing w:before="0" w:line="240" w:lineRule="auto"/>
        <w:jc w:val="both"/>
        <w:outlineLvl w:val="0"/>
      </w:pPr>
      <w:r w:rsidRPr="000C342D">
        <w:t>A.</w:t>
      </w:r>
      <w:r w:rsidRPr="000C342D">
        <w:tab/>
        <w:t xml:space="preserve">Critère à appliquer à partir du </w:t>
      </w:r>
      <w:r w:rsidRPr="00FD75F7">
        <w:t>20 juillet 2011 jusqu’au 31 mai 2015</w:t>
      </w:r>
    </w:p>
    <w:p w:rsidR="00BB166C" w:rsidRPr="000C342D" w:rsidRDefault="00BB166C" w:rsidP="000E01B8">
      <w:pPr>
        <w:pStyle w:val="QuotedText"/>
        <w:spacing w:before="0" w:line="240" w:lineRule="auto"/>
        <w:jc w:val="both"/>
        <w:rPr>
          <w:i/>
        </w:rPr>
      </w:pPr>
      <w:r w:rsidRPr="000C342D">
        <w:rPr>
          <w:i/>
        </w:rPr>
        <w:t>Substances</w:t>
      </w:r>
    </w:p>
    <w:p w:rsidR="00BB166C" w:rsidRPr="00B60C60" w:rsidRDefault="00BB166C" w:rsidP="000E01B8">
      <w:pPr>
        <w:pStyle w:val="QuotedText"/>
        <w:spacing w:before="0" w:line="240" w:lineRule="auto"/>
        <w:jc w:val="both"/>
      </w:pPr>
      <w:r w:rsidRPr="000C342D">
        <w:t xml:space="preserve">La substance satisfait aux critères définis pour une quelconque des classes ou </w:t>
      </w:r>
      <w:r w:rsidRPr="00B60C60">
        <w:t>catégories de danger suivantes définies à l'annexe I du règlement (CE) n° 1272/2008:</w:t>
      </w:r>
    </w:p>
    <w:p w:rsidR="00BB166C" w:rsidRPr="000C342D" w:rsidRDefault="00BB166C" w:rsidP="000E01B8">
      <w:pPr>
        <w:pStyle w:val="Point2"/>
        <w:spacing w:before="0" w:line="240" w:lineRule="auto"/>
        <w:jc w:val="both"/>
      </w:pPr>
      <w:r w:rsidRPr="000C342D">
        <w:t>i)</w:t>
      </w:r>
      <w:r w:rsidRPr="000C342D">
        <w:tab/>
        <w:t xml:space="preserve">classes de </w:t>
      </w:r>
      <w:r w:rsidRPr="00FD75F7">
        <w:t>danger</w:t>
      </w:r>
      <w:r w:rsidRPr="000C342D">
        <w:t xml:space="preserve"> 2.1 à 2.4, 2.6 et 2.7, 2.8 types A et B, 2.9, 2.10, 2.12, 2.13 catégories 1 et 2, 2.14 catégories 1 et 2, 2.15 types A à F</w:t>
      </w:r>
      <w:r>
        <w:t> ;</w:t>
      </w:r>
    </w:p>
    <w:p w:rsidR="00BB166C" w:rsidRPr="000C342D" w:rsidRDefault="00BB166C" w:rsidP="000E01B8">
      <w:pPr>
        <w:pStyle w:val="Point2"/>
        <w:spacing w:before="0" w:line="240" w:lineRule="auto"/>
        <w:jc w:val="both"/>
      </w:pPr>
      <w:r w:rsidRPr="000C342D">
        <w:t>ii)</w:t>
      </w:r>
      <w:r w:rsidRPr="000C342D">
        <w:tab/>
        <w:t xml:space="preserve">classes de </w:t>
      </w:r>
      <w:r w:rsidRPr="00FD75F7">
        <w:t>danger</w:t>
      </w:r>
      <w:r w:rsidRPr="000C342D">
        <w:t xml:space="preserve"> 3.1 à 3.6, 3.7 effets néfastes sur la fonction reproductive, sur la fertilité ou la croissance, 3.8 effets autres que narcotiques, 3.9 et 3.10</w:t>
      </w:r>
      <w:r>
        <w:t> ;</w:t>
      </w:r>
    </w:p>
    <w:p w:rsidR="00BB166C" w:rsidRPr="000C342D" w:rsidRDefault="00BB166C" w:rsidP="000E01B8">
      <w:pPr>
        <w:pStyle w:val="Point2"/>
        <w:spacing w:before="0" w:line="240" w:lineRule="auto"/>
        <w:jc w:val="both"/>
      </w:pPr>
      <w:r w:rsidRPr="000C342D">
        <w:t>iii)</w:t>
      </w:r>
      <w:r w:rsidRPr="000C342D">
        <w:tab/>
        <w:t xml:space="preserve">classe de </w:t>
      </w:r>
      <w:r w:rsidRPr="00FD75F7">
        <w:t>danger</w:t>
      </w:r>
      <w:r w:rsidRPr="000C342D">
        <w:t xml:space="preserve"> 4.1</w:t>
      </w:r>
      <w:r>
        <w:t> ;</w:t>
      </w:r>
    </w:p>
    <w:p w:rsidR="00BB166C" w:rsidRPr="000C342D" w:rsidRDefault="00BB166C" w:rsidP="000E01B8">
      <w:pPr>
        <w:pStyle w:val="Point2"/>
        <w:spacing w:before="0" w:line="240" w:lineRule="auto"/>
        <w:jc w:val="both"/>
      </w:pPr>
      <w:r w:rsidRPr="000C342D">
        <w:t>iv)</w:t>
      </w:r>
      <w:r w:rsidRPr="000C342D">
        <w:tab/>
        <w:t xml:space="preserve">classe de </w:t>
      </w:r>
      <w:r w:rsidRPr="00FD75F7">
        <w:t>danger</w:t>
      </w:r>
      <w:r w:rsidRPr="000C342D">
        <w:t xml:space="preserve"> 5.1.</w:t>
      </w:r>
    </w:p>
    <w:p w:rsidR="00BB166C" w:rsidRPr="000C342D" w:rsidRDefault="00BB166C" w:rsidP="000E01B8">
      <w:pPr>
        <w:pStyle w:val="QuotedText"/>
        <w:spacing w:before="0" w:line="240" w:lineRule="auto"/>
        <w:jc w:val="both"/>
        <w:rPr>
          <w:i/>
        </w:rPr>
      </w:pPr>
      <w:r w:rsidRPr="000C342D">
        <w:rPr>
          <w:i/>
        </w:rPr>
        <w:t>Mélanges</w:t>
      </w:r>
    </w:p>
    <w:p w:rsidR="00BB166C" w:rsidRPr="00AD77A0" w:rsidRDefault="00BB166C" w:rsidP="000E01B8">
      <w:pPr>
        <w:pStyle w:val="Text1"/>
        <w:spacing w:before="0" w:line="240" w:lineRule="auto"/>
        <w:ind w:left="1440"/>
        <w:jc w:val="both"/>
      </w:pPr>
      <w:r w:rsidRPr="000C342D">
        <w:t xml:space="preserve">Le mélange est dangereux au sens de </w:t>
      </w:r>
      <w:r w:rsidRPr="00AD77A0">
        <w:t xml:space="preserve">la loi modifiée du 15 juin 1994 relative à la classification, l’emballage et l’étiquetage des substances dangereuses - modifiant la loi du 11 mars 1981 portant réglementation de la mise sur le marché et de l’emploi de certaines substances et préparations dangereuses et les règlements pris en son exécution en vue de la transposition de la législation communautaire concernant </w:t>
      </w:r>
      <w:r>
        <w:t>la classification, l’emballage et</w:t>
      </w:r>
      <w:r w:rsidRPr="00AD77A0">
        <w:t xml:space="preserve"> l’étiquetage des substances dangereuses ;</w:t>
      </w:r>
    </w:p>
    <w:p w:rsidR="00BB166C" w:rsidRPr="000C342D" w:rsidRDefault="00BB166C" w:rsidP="000E01B8">
      <w:pPr>
        <w:pStyle w:val="Point1"/>
        <w:spacing w:before="0" w:line="240" w:lineRule="auto"/>
        <w:jc w:val="both"/>
        <w:outlineLvl w:val="0"/>
      </w:pPr>
      <w:r w:rsidRPr="000C342D">
        <w:t>B.</w:t>
      </w:r>
      <w:r w:rsidRPr="000C342D">
        <w:tab/>
        <w:t>Critère à appliquer à partir du 1</w:t>
      </w:r>
      <w:r w:rsidRPr="000C342D">
        <w:rPr>
          <w:vertAlign w:val="superscript"/>
        </w:rPr>
        <w:t>er</w:t>
      </w:r>
      <w:r w:rsidRPr="000C342D">
        <w:t> juin 2015</w:t>
      </w:r>
    </w:p>
    <w:p w:rsidR="00BB166C" w:rsidRPr="000C342D" w:rsidRDefault="00BB166C" w:rsidP="000E01B8">
      <w:pPr>
        <w:pStyle w:val="QuotedText"/>
        <w:spacing w:before="0" w:line="240" w:lineRule="auto"/>
        <w:jc w:val="both"/>
      </w:pPr>
      <w:r w:rsidRPr="000C342D">
        <w:t xml:space="preserve">La substance satisfait aux critères définis pour une quelconque des classes ou catégories de </w:t>
      </w:r>
      <w:r w:rsidRPr="00FD75F7">
        <w:t>danger</w:t>
      </w:r>
      <w:r w:rsidRPr="000C342D">
        <w:t xml:space="preserve"> suivantes définies à l'annexe I du règlement (CE) n° 1272/2008</w:t>
      </w:r>
      <w:r>
        <w:t> :</w:t>
      </w:r>
    </w:p>
    <w:p w:rsidR="00BB166C" w:rsidRPr="000C342D" w:rsidRDefault="00BB166C" w:rsidP="000E01B8">
      <w:pPr>
        <w:pStyle w:val="Point2"/>
        <w:spacing w:before="0" w:line="240" w:lineRule="auto"/>
        <w:jc w:val="both"/>
      </w:pPr>
      <w:r w:rsidRPr="000C342D">
        <w:t>i)</w:t>
      </w:r>
      <w:r w:rsidRPr="000C342D">
        <w:tab/>
        <w:t>classes de risque 2.1 à 2.4, 2.6 et 2.7, 2.8 types A et B, 2.9, 2.10, 2.12, 2.13 catégories 1 et 2, 2.14 catégories 1 et 2, 2.15 types A à F</w:t>
      </w:r>
      <w:r>
        <w:t> ;</w:t>
      </w:r>
    </w:p>
    <w:p w:rsidR="00BB166C" w:rsidRPr="000C342D" w:rsidRDefault="00BB166C" w:rsidP="000E01B8">
      <w:pPr>
        <w:pStyle w:val="Point2"/>
        <w:spacing w:before="0" w:line="240" w:lineRule="auto"/>
        <w:jc w:val="both"/>
      </w:pPr>
      <w:r w:rsidRPr="000C342D">
        <w:t>ii)</w:t>
      </w:r>
      <w:r w:rsidRPr="000C342D">
        <w:tab/>
        <w:t>classes de risque 3.1 à 3.6, 3.7 effets néfastes sur la fonction reproductive, sur la fertilité ou la croissance, 3.8 effets autres que narcotiques, 3.9 et 3.10</w:t>
      </w:r>
      <w:r>
        <w:t> ;</w:t>
      </w:r>
    </w:p>
    <w:p w:rsidR="00BB166C" w:rsidRPr="000C342D" w:rsidRDefault="00BB166C" w:rsidP="000E01B8">
      <w:pPr>
        <w:pStyle w:val="Point2"/>
        <w:spacing w:before="0" w:line="240" w:lineRule="auto"/>
        <w:jc w:val="both"/>
      </w:pPr>
      <w:r w:rsidRPr="000C342D">
        <w:t>iii)</w:t>
      </w:r>
      <w:r w:rsidRPr="000C342D">
        <w:tab/>
        <w:t>classe de risque 4.1</w:t>
      </w:r>
      <w:r>
        <w:t> ;</w:t>
      </w:r>
    </w:p>
    <w:p w:rsidR="00BB166C" w:rsidRPr="000C342D" w:rsidRDefault="00BB166C" w:rsidP="000E01B8">
      <w:pPr>
        <w:pStyle w:val="Point2"/>
        <w:spacing w:before="0" w:line="240" w:lineRule="auto"/>
        <w:jc w:val="both"/>
      </w:pPr>
      <w:r w:rsidRPr="000C342D">
        <w:t>iv)</w:t>
      </w:r>
      <w:r w:rsidRPr="000C342D">
        <w:tab/>
        <w:t>classe de risque 5.1.</w:t>
      </w:r>
    </w:p>
    <w:p w:rsidR="00BB166C" w:rsidRPr="00C14EE8" w:rsidRDefault="00BB166C" w:rsidP="000E01B8">
      <w:pPr>
        <w:pStyle w:val="Point0"/>
        <w:spacing w:before="0" w:line="240" w:lineRule="auto"/>
        <w:jc w:val="both"/>
        <w:outlineLvl w:val="0"/>
        <w:rPr>
          <w:color w:val="000000"/>
        </w:rPr>
      </w:pPr>
      <w:r w:rsidRPr="000C342D">
        <w:t>2.</w:t>
      </w:r>
      <w:r w:rsidRPr="000C342D">
        <w:tab/>
      </w:r>
      <w:r w:rsidRPr="00C14EE8">
        <w:rPr>
          <w:color w:val="000000"/>
        </w:rPr>
        <w:t>Actes communautaires régissant l’utilisation de certaines substances aux fins des points 4 a) et 5 a) de la partie III</w:t>
      </w:r>
    </w:p>
    <w:p w:rsidR="00BB166C" w:rsidRPr="000C342D" w:rsidRDefault="00BB166C" w:rsidP="000E01B8">
      <w:pPr>
        <w:pStyle w:val="Point2"/>
        <w:spacing w:before="0" w:line="240" w:lineRule="auto"/>
        <w:ind w:left="873" w:firstLine="0"/>
        <w:jc w:val="both"/>
      </w:pPr>
      <w:r w:rsidRPr="000C342D">
        <w:t>Du</w:t>
      </w:r>
      <w:r>
        <w:t xml:space="preserve"> </w:t>
      </w:r>
      <w:r w:rsidRPr="00FD75F7">
        <w:t>20 juillet</w:t>
      </w:r>
      <w:r>
        <w:t xml:space="preserve"> 2011</w:t>
      </w:r>
      <w:r w:rsidRPr="000C342D">
        <w:t xml:space="preserve"> au 31 mai 2015, les concentrations pertinentes pour la classification des mélanges contenant les substances sont celles définies conformément </w:t>
      </w:r>
      <w:r w:rsidRPr="00AD77A0">
        <w:t>à la loi du 27 avril 2009 concernant l’enregistrement, l’évaluation et l’autorisation des substances chimiques, ainsi que les restrictions applicables à ces ;</w:t>
      </w:r>
    </w:p>
    <w:p w:rsidR="00BB166C" w:rsidRPr="00546022" w:rsidRDefault="00BB166C" w:rsidP="000E01B8">
      <w:pPr>
        <w:pStyle w:val="Text1"/>
        <w:spacing w:before="0" w:line="240" w:lineRule="auto"/>
        <w:jc w:val="both"/>
      </w:pPr>
      <w:r w:rsidRPr="00546022">
        <w:t>À partir du 1</w:t>
      </w:r>
      <w:r w:rsidRPr="00546022">
        <w:rPr>
          <w:vertAlign w:val="superscript"/>
        </w:rPr>
        <w:t>er</w:t>
      </w:r>
      <w:r w:rsidRPr="00546022">
        <w:t> juin 2015, les concentrations pertinentes aux fins de la classification des mélanges contenant les substances sont celles définies conformément au règlement (CE) n° 1272/2008.</w:t>
      </w:r>
    </w:p>
    <w:p w:rsidR="00BB166C" w:rsidRPr="000C342D" w:rsidRDefault="00BB166C" w:rsidP="000E01B8">
      <w:pPr>
        <w:pStyle w:val="Point0"/>
        <w:spacing w:before="0" w:line="240" w:lineRule="auto"/>
        <w:jc w:val="both"/>
        <w:outlineLvl w:val="0"/>
      </w:pPr>
      <w:r w:rsidRPr="000C342D">
        <w:t>3.</w:t>
      </w:r>
      <w:r w:rsidRPr="000C342D">
        <w:tab/>
        <w:t xml:space="preserve">Catégories de substances et mélanges classés cancérogènes, mutagènes ou toxiques pour la reproduction </w:t>
      </w:r>
      <w:r w:rsidRPr="00FD75F7">
        <w:t>(CMR) aux fins du point 4 de la partie III</w:t>
      </w:r>
    </w:p>
    <w:p w:rsidR="00BB166C" w:rsidRPr="00EB2ABB" w:rsidRDefault="00BB166C" w:rsidP="000E01B8">
      <w:pPr>
        <w:pStyle w:val="Text1"/>
        <w:spacing w:before="0" w:line="240" w:lineRule="auto"/>
        <w:jc w:val="both"/>
        <w:rPr>
          <w:i/>
        </w:rPr>
      </w:pPr>
      <w:r w:rsidRPr="00EB2ABB">
        <w:rPr>
          <w:i/>
        </w:rPr>
        <w:t>Substances</w:t>
      </w:r>
    </w:p>
    <w:p w:rsidR="00BB166C" w:rsidRPr="00546022" w:rsidRDefault="00BB166C" w:rsidP="000E01B8">
      <w:pPr>
        <w:pStyle w:val="Text1"/>
        <w:spacing w:before="0" w:line="240" w:lineRule="auto"/>
        <w:jc w:val="both"/>
      </w:pPr>
      <w:r w:rsidRPr="00546022">
        <w:t>Le point 4 de la partie III concerne les substances classées CMR en catégorie 1A et 1B en vertu du règlement (CE) n° 1272/2008.</w:t>
      </w:r>
    </w:p>
    <w:p w:rsidR="00BB166C" w:rsidRPr="00EB2ABB" w:rsidRDefault="00BB166C" w:rsidP="000E01B8">
      <w:pPr>
        <w:pStyle w:val="Text1"/>
        <w:spacing w:before="0" w:line="240" w:lineRule="auto"/>
        <w:jc w:val="both"/>
        <w:rPr>
          <w:i/>
        </w:rPr>
      </w:pPr>
      <w:r w:rsidRPr="00EB2ABB">
        <w:rPr>
          <w:i/>
        </w:rPr>
        <w:t>Mélanges</w:t>
      </w:r>
    </w:p>
    <w:p w:rsidR="00BB166C" w:rsidRPr="000C342D" w:rsidRDefault="00BB166C" w:rsidP="000E01B8">
      <w:pPr>
        <w:pStyle w:val="Text1"/>
        <w:spacing w:before="0" w:line="240" w:lineRule="auto"/>
        <w:ind w:left="900"/>
        <w:jc w:val="both"/>
      </w:pPr>
      <w:r>
        <w:t xml:space="preserve">Du </w:t>
      </w:r>
      <w:r w:rsidRPr="00C80153">
        <w:t>20 juillet</w:t>
      </w:r>
      <w:r>
        <w:t xml:space="preserve"> 2011</w:t>
      </w:r>
      <w:r w:rsidRPr="000C342D">
        <w:t xml:space="preserve"> au 31 mai 2015, </w:t>
      </w:r>
      <w:r w:rsidRPr="00C80153">
        <w:t>le point 4 de la partie III</w:t>
      </w:r>
      <w:r w:rsidRPr="000C342D">
        <w:t xml:space="preserve"> concerne les mélanges classées CMR en catégories 1 et 2, en vertu de </w:t>
      </w:r>
      <w:r w:rsidRPr="00AD77A0">
        <w:t xml:space="preserve">la loi modifiée du 15 juin 1994 relative à la classification, l’emballage et l’étiquetage des substances dangereuses - modifiant la loi du 11 mars 1981 portant réglementation de la mise sur le marché et de l’emploi de certaines substances et préparations dangereuses et les règlements pris en son exécution en vue de la transposition de la législation communautaire concernant </w:t>
      </w:r>
      <w:r>
        <w:t>la classification, l’emballage et</w:t>
      </w:r>
      <w:r w:rsidRPr="00AD77A0">
        <w:t xml:space="preserve"> l’étiquetage des substances dangereuses</w:t>
      </w:r>
      <w:r>
        <w:t xml:space="preserve"> ou de la loi </w:t>
      </w:r>
      <w:r w:rsidRPr="00AD77A0">
        <w:t> </w:t>
      </w:r>
      <w:r>
        <w:t>d</w:t>
      </w:r>
      <w:r w:rsidRPr="000C342D">
        <w:t>u</w:t>
      </w:r>
      <w:r>
        <w:t xml:space="preserve"> </w:t>
      </w:r>
      <w:r w:rsidRPr="00FD75F7">
        <w:t>20 juillet</w:t>
      </w:r>
      <w:r>
        <w:t xml:space="preserve"> 2011</w:t>
      </w:r>
      <w:r w:rsidRPr="000C342D">
        <w:t xml:space="preserve"> au 31 mai 2015, les concentrations pertinentes pour la classification des mélanges contenant les substances sont celles définies conformément </w:t>
      </w:r>
      <w:r w:rsidRPr="00AD77A0">
        <w:t>à la loi du 27 avril 2009 concernant l’enregistrement, l’évaluation et l’autorisation des substances chimiques</w:t>
      </w:r>
      <w:r>
        <w:t xml:space="preserve">, </w:t>
      </w:r>
      <w:r w:rsidRPr="000C342D">
        <w:t>selon le cas.</w:t>
      </w:r>
    </w:p>
    <w:p w:rsidR="00BB166C" w:rsidRPr="000C342D" w:rsidRDefault="00BB166C" w:rsidP="000E01B8">
      <w:pPr>
        <w:pStyle w:val="Text1"/>
        <w:spacing w:before="0" w:line="240" w:lineRule="auto"/>
        <w:jc w:val="both"/>
      </w:pPr>
      <w:r w:rsidRPr="000C342D">
        <w:t>À partir du 1</w:t>
      </w:r>
      <w:r w:rsidRPr="000C342D">
        <w:rPr>
          <w:vertAlign w:val="superscript"/>
        </w:rPr>
        <w:t>er</w:t>
      </w:r>
      <w:r w:rsidRPr="000C342D">
        <w:t xml:space="preserve"> juin 2015, </w:t>
      </w:r>
      <w:r w:rsidRPr="00C80153">
        <w:t>le point 4 de la partie III</w:t>
      </w:r>
      <w:r w:rsidRPr="000C342D">
        <w:t xml:space="preserve"> concerne les mélanges classifiés CMR en catégories 1A et 1B en vertu du règlement (CE) n° 1272/2008.</w:t>
      </w:r>
    </w:p>
    <w:p w:rsidR="00BB166C" w:rsidRPr="000C342D" w:rsidRDefault="00BB166C" w:rsidP="000E01B8">
      <w:pPr>
        <w:pStyle w:val="Point0"/>
        <w:spacing w:before="0" w:line="240" w:lineRule="auto"/>
        <w:jc w:val="both"/>
      </w:pPr>
      <w:r w:rsidRPr="000C342D">
        <w:t>4.</w:t>
      </w:r>
      <w:r w:rsidRPr="000C342D">
        <w:tab/>
        <w:t xml:space="preserve">Catégories de substances et mélanges classés cancérogènes, mutagènes ou toxiques pour la reproduction </w:t>
      </w:r>
      <w:r w:rsidRPr="00C80153">
        <w:t xml:space="preserve">(CMR) </w:t>
      </w:r>
      <w:r w:rsidRPr="000C342D">
        <w:t xml:space="preserve">aux fins </w:t>
      </w:r>
      <w:r w:rsidRPr="00C80153">
        <w:t>du point 5 de la partie III</w:t>
      </w:r>
      <w:r w:rsidRPr="000C342D">
        <w:t>.</w:t>
      </w:r>
    </w:p>
    <w:p w:rsidR="00BB166C" w:rsidRPr="000C342D" w:rsidRDefault="00BB166C" w:rsidP="000E01B8">
      <w:pPr>
        <w:pStyle w:val="Text1"/>
        <w:spacing w:before="0" w:line="240" w:lineRule="auto"/>
        <w:jc w:val="both"/>
        <w:rPr>
          <w:i/>
        </w:rPr>
      </w:pPr>
      <w:r w:rsidRPr="000C342D">
        <w:rPr>
          <w:i/>
        </w:rPr>
        <w:t>Substances</w:t>
      </w:r>
    </w:p>
    <w:p w:rsidR="00BB166C" w:rsidRPr="000C342D" w:rsidRDefault="00BB166C" w:rsidP="000E01B8">
      <w:pPr>
        <w:pStyle w:val="Text1"/>
        <w:spacing w:before="0" w:line="240" w:lineRule="auto"/>
        <w:jc w:val="both"/>
      </w:pPr>
      <w:r w:rsidRPr="00C80153">
        <w:t>Le point 5 de la</w:t>
      </w:r>
      <w:r w:rsidRPr="000C342D">
        <w:t xml:space="preserve"> partie III</w:t>
      </w:r>
      <w:r>
        <w:t xml:space="preserve"> </w:t>
      </w:r>
      <w:r w:rsidRPr="000C342D">
        <w:t xml:space="preserve">concerne les substances classées CMR en catégorie </w:t>
      </w:r>
      <w:r>
        <w:t>2</w:t>
      </w:r>
      <w:r w:rsidRPr="000C342D">
        <w:t xml:space="preserve"> en vertu du règlement (CE) n° 1272/2008.</w:t>
      </w:r>
    </w:p>
    <w:p w:rsidR="00BB166C" w:rsidRPr="00EB2ABB" w:rsidRDefault="00BB166C" w:rsidP="000E01B8">
      <w:pPr>
        <w:pStyle w:val="Text1"/>
        <w:spacing w:before="0" w:line="240" w:lineRule="auto"/>
        <w:jc w:val="both"/>
        <w:rPr>
          <w:i/>
        </w:rPr>
      </w:pPr>
      <w:r w:rsidRPr="00EB2ABB">
        <w:rPr>
          <w:i/>
        </w:rPr>
        <w:t>Mélanges</w:t>
      </w:r>
    </w:p>
    <w:p w:rsidR="00BB166C" w:rsidRPr="000C342D" w:rsidRDefault="00BB166C" w:rsidP="000E01B8">
      <w:pPr>
        <w:pStyle w:val="Text1"/>
        <w:spacing w:before="0" w:line="240" w:lineRule="auto"/>
        <w:jc w:val="both"/>
      </w:pPr>
      <w:r w:rsidRPr="000C342D">
        <w:t xml:space="preserve">Du </w:t>
      </w:r>
      <w:r w:rsidRPr="00C80153">
        <w:t>20 juillet 2011</w:t>
      </w:r>
      <w:r w:rsidRPr="000C342D">
        <w:t xml:space="preserve"> au 31 mai 2015, </w:t>
      </w:r>
      <w:r w:rsidRPr="00C80153">
        <w:t>le point 5 de la partie III</w:t>
      </w:r>
      <w:r w:rsidRPr="000C342D">
        <w:t xml:space="preserve"> concerne les mélanges classées CMR en catégorie 3, en vertu des directives 1999/45/CE ou 67/548/CEE, selon le cas.</w:t>
      </w:r>
    </w:p>
    <w:p w:rsidR="00BB166C" w:rsidRPr="000C342D" w:rsidRDefault="00BB166C" w:rsidP="000E01B8">
      <w:pPr>
        <w:pStyle w:val="Text1"/>
        <w:spacing w:before="0" w:line="240" w:lineRule="auto"/>
        <w:jc w:val="both"/>
      </w:pPr>
      <w:r w:rsidRPr="000C342D">
        <w:t>À partir du 1</w:t>
      </w:r>
      <w:r w:rsidRPr="000C342D">
        <w:rPr>
          <w:vertAlign w:val="superscript"/>
        </w:rPr>
        <w:t>er</w:t>
      </w:r>
      <w:r w:rsidRPr="000C342D">
        <w:t xml:space="preserve"> juin 2015, </w:t>
      </w:r>
      <w:r w:rsidRPr="00C80153">
        <w:t>le point 5 de la partie III</w:t>
      </w:r>
      <w:r w:rsidRPr="000C342D">
        <w:t xml:space="preserve"> concerne les mélanges classifiés CMR en catégorie 2 en vertu du règlement (CE) n° 1272/2008.</w:t>
      </w:r>
    </w:p>
    <w:p w:rsidR="00BB166C" w:rsidRPr="000C342D" w:rsidRDefault="00BB166C" w:rsidP="000E01B8">
      <w:pPr>
        <w:pStyle w:val="Point0"/>
        <w:spacing w:before="0" w:line="240" w:lineRule="auto"/>
        <w:jc w:val="both"/>
        <w:outlineLvl w:val="0"/>
      </w:pPr>
      <w:r w:rsidRPr="000C342D">
        <w:t>5.</w:t>
      </w:r>
      <w:r w:rsidRPr="000C342D">
        <w:tab/>
        <w:t xml:space="preserve">Catégories de substances et mélanges classés cancérogènes, mutagènes ou toxiques pour la reproduction </w:t>
      </w:r>
      <w:r w:rsidRPr="00C80153">
        <w:t xml:space="preserve">(CMR) </w:t>
      </w:r>
      <w:r w:rsidRPr="000C342D">
        <w:t>aux fins de l'article 46, paragraphe 3.</w:t>
      </w:r>
    </w:p>
    <w:p w:rsidR="00BB166C" w:rsidRPr="00EB2ABB" w:rsidRDefault="00BB166C" w:rsidP="000E01B8">
      <w:pPr>
        <w:pStyle w:val="Text1"/>
        <w:spacing w:before="0" w:line="240" w:lineRule="auto"/>
        <w:jc w:val="both"/>
        <w:rPr>
          <w:i/>
        </w:rPr>
      </w:pPr>
      <w:r w:rsidRPr="00EB2ABB">
        <w:rPr>
          <w:i/>
        </w:rPr>
        <w:t>Substances</w:t>
      </w:r>
    </w:p>
    <w:p w:rsidR="00BB166C" w:rsidRPr="000C342D" w:rsidRDefault="00BB166C" w:rsidP="000E01B8">
      <w:pPr>
        <w:pStyle w:val="Text1"/>
        <w:spacing w:before="0" w:line="240" w:lineRule="auto"/>
        <w:jc w:val="both"/>
      </w:pPr>
      <w:r w:rsidRPr="000C342D">
        <w:t>L'article 46, paragraphe 3, concerne les substances classées CMR en catégories 1A, 1B et 2 conformément au règlement (CE) n° 1272/2008.</w:t>
      </w:r>
    </w:p>
    <w:p w:rsidR="00BB166C" w:rsidRPr="00EB2ABB" w:rsidRDefault="00BB166C" w:rsidP="000E01B8">
      <w:pPr>
        <w:pStyle w:val="Text1"/>
        <w:spacing w:before="0" w:line="240" w:lineRule="auto"/>
        <w:jc w:val="both"/>
        <w:rPr>
          <w:i/>
        </w:rPr>
      </w:pPr>
      <w:r w:rsidRPr="00EB2ABB">
        <w:rPr>
          <w:i/>
        </w:rPr>
        <w:t>Mélanges</w:t>
      </w:r>
    </w:p>
    <w:p w:rsidR="00BB166C" w:rsidRPr="000C342D" w:rsidRDefault="00BB166C" w:rsidP="000E01B8">
      <w:pPr>
        <w:pStyle w:val="Text1"/>
        <w:spacing w:before="0" w:line="240" w:lineRule="auto"/>
        <w:jc w:val="both"/>
      </w:pPr>
      <w:r w:rsidRPr="000C342D">
        <w:t xml:space="preserve">Du </w:t>
      </w:r>
      <w:r w:rsidRPr="00C80153">
        <w:t>20 juillet</w:t>
      </w:r>
      <w:r>
        <w:t xml:space="preserve"> 2011</w:t>
      </w:r>
      <w:r w:rsidRPr="000C342D">
        <w:t xml:space="preserve"> au 31 mai 2015, l'article 46, paragraphe 3, concerne les mélanges classés CMR en catégorie 1, 2 et 3, en vertu des directives 1999/45/CE ou 67/548/CEE, selon le cas.</w:t>
      </w:r>
    </w:p>
    <w:p w:rsidR="00BB166C" w:rsidRPr="000C342D" w:rsidRDefault="00BB166C" w:rsidP="000E01B8">
      <w:pPr>
        <w:pStyle w:val="Text1"/>
        <w:spacing w:before="0" w:after="240" w:line="240" w:lineRule="auto"/>
        <w:ind w:left="851"/>
      </w:pPr>
      <w:r w:rsidRPr="000C342D">
        <w:t>À partir du 1</w:t>
      </w:r>
      <w:r w:rsidRPr="000C342D">
        <w:rPr>
          <w:vertAlign w:val="superscript"/>
        </w:rPr>
        <w:t>er</w:t>
      </w:r>
      <w:r w:rsidRPr="000C342D">
        <w:t> juin 2015, l'article 46, paragraphe 3, concerne les mélanges classifiés CMR en catégories 1A, 1B et 2 en vertu du règlement CE n° 1272/2008.</w:t>
      </w:r>
    </w:p>
    <w:p w:rsidR="00BB166C" w:rsidRPr="000C342D" w:rsidRDefault="00BB166C" w:rsidP="000E01B8">
      <w:pPr>
        <w:pStyle w:val="NormalCentered"/>
        <w:spacing w:before="0" w:line="240" w:lineRule="auto"/>
        <w:outlineLvl w:val="0"/>
        <w:rPr>
          <w:b/>
        </w:rPr>
      </w:pPr>
      <w:r w:rsidRPr="000C342D">
        <w:rPr>
          <w:b/>
        </w:rPr>
        <w:t>Appendice C</w:t>
      </w:r>
    </w:p>
    <w:p w:rsidR="00BB166C" w:rsidRPr="000C342D" w:rsidRDefault="00BB166C" w:rsidP="000E01B8">
      <w:pPr>
        <w:pStyle w:val="NormalCentered"/>
        <w:spacing w:before="0" w:line="240" w:lineRule="auto"/>
        <w:jc w:val="both"/>
      </w:pPr>
      <w:r w:rsidRPr="000C342D">
        <w:t xml:space="preserve">Valeurs limites spécifiques pour les produits chimiques utilisés dans les jouets destinés à </w:t>
      </w:r>
      <w:r w:rsidRPr="00C80153">
        <w:t>l’usage d’</w:t>
      </w:r>
      <w:r w:rsidRPr="000C342D">
        <w:t>enfants de moins de 36 mois ou dans d'autres jouets destinés à être mis en bouche adoptées conformément à l'article 46, paragraphe 2.</w:t>
      </w:r>
    </w:p>
    <w:p w:rsidR="00BB166C" w:rsidRPr="000C342D" w:rsidRDefault="00BB166C" w:rsidP="000E01B8">
      <w:pPr>
        <w:pStyle w:val="NormalCentered"/>
        <w:spacing w:before="0" w:line="240" w:lineRule="auto"/>
        <w:jc w:val="both"/>
      </w:pPr>
    </w:p>
    <w:p w:rsidR="00BB166C" w:rsidRPr="00FE5DF1" w:rsidRDefault="00BB166C" w:rsidP="000E01B8">
      <w:pPr>
        <w:pStyle w:val="Point0"/>
        <w:spacing w:before="0" w:line="240" w:lineRule="auto"/>
        <w:jc w:val="center"/>
        <w:rPr>
          <w:b/>
        </w:rPr>
      </w:pPr>
      <w:r w:rsidRPr="000C342D">
        <w:br w:type="page"/>
      </w:r>
      <w:r w:rsidRPr="00FE5DF1">
        <w:rPr>
          <w:b/>
        </w:rPr>
        <w:t>Annexe III</w:t>
      </w:r>
    </w:p>
    <w:p w:rsidR="00BB166C" w:rsidRPr="00FE5DF1" w:rsidRDefault="00BB166C" w:rsidP="000E01B8">
      <w:pPr>
        <w:pStyle w:val="Point0"/>
        <w:spacing w:before="0" w:line="240" w:lineRule="auto"/>
        <w:jc w:val="center"/>
        <w:rPr>
          <w:b/>
        </w:rPr>
      </w:pPr>
      <w:r>
        <w:rPr>
          <w:b/>
        </w:rPr>
        <w:t>Déclaration CE de conformité</w:t>
      </w:r>
    </w:p>
    <w:p w:rsidR="00BB166C" w:rsidRPr="00672F0C" w:rsidRDefault="00BB166C" w:rsidP="000E01B8">
      <w:pPr>
        <w:pStyle w:val="Point0"/>
        <w:spacing w:before="0" w:line="240" w:lineRule="auto"/>
        <w:outlineLvl w:val="0"/>
      </w:pPr>
      <w:r w:rsidRPr="00672F0C">
        <w:t>1.</w:t>
      </w:r>
      <w:r w:rsidRPr="00672F0C">
        <w:tab/>
        <w:t>N° … (identification unique du ou des jouets).</w:t>
      </w:r>
    </w:p>
    <w:p w:rsidR="00BB166C" w:rsidRPr="00672F0C" w:rsidRDefault="00BB166C" w:rsidP="000E01B8">
      <w:pPr>
        <w:pStyle w:val="Point0"/>
        <w:spacing w:before="0" w:line="240" w:lineRule="auto"/>
        <w:outlineLvl w:val="0"/>
      </w:pPr>
      <w:r w:rsidRPr="00672F0C">
        <w:t>2.</w:t>
      </w:r>
      <w:r w:rsidRPr="00672F0C">
        <w:tab/>
        <w:t>Nom et adresse du fabricant ou de son mandataire :</w:t>
      </w:r>
    </w:p>
    <w:p w:rsidR="00BB166C" w:rsidRPr="00672F0C" w:rsidRDefault="00BB166C" w:rsidP="000E01B8">
      <w:pPr>
        <w:pStyle w:val="Point0"/>
        <w:spacing w:before="0" w:line="240" w:lineRule="auto"/>
        <w:outlineLvl w:val="0"/>
      </w:pPr>
      <w:r w:rsidRPr="00672F0C">
        <w:t>3.</w:t>
      </w:r>
      <w:r w:rsidRPr="00672F0C">
        <w:tab/>
        <w:t>La présente déclaration de conformité est établie sous la seule responsabilité du fabricant :</w:t>
      </w:r>
    </w:p>
    <w:p w:rsidR="00BB166C" w:rsidRPr="00672F0C" w:rsidRDefault="00BB166C" w:rsidP="000E01B8">
      <w:pPr>
        <w:pStyle w:val="Point0"/>
        <w:spacing w:before="0" w:line="240" w:lineRule="auto"/>
        <w:outlineLvl w:val="0"/>
      </w:pPr>
      <w:r w:rsidRPr="00672F0C">
        <w:t>4.</w:t>
      </w:r>
      <w:r w:rsidRPr="00672F0C">
        <w:tab/>
        <w:t>Objet de la déclaration (identification du jouet permettant sa traçabilité), accompagné d'une image couleur suffisamment claire pour permettre l'identification du jouet.</w:t>
      </w:r>
    </w:p>
    <w:p w:rsidR="00BB166C" w:rsidRPr="00672F0C" w:rsidRDefault="00BB166C" w:rsidP="000E01B8">
      <w:pPr>
        <w:pStyle w:val="Point0"/>
        <w:spacing w:before="0" w:line="240" w:lineRule="auto"/>
        <w:outlineLvl w:val="0"/>
      </w:pPr>
      <w:r w:rsidRPr="00672F0C">
        <w:t>5.</w:t>
      </w:r>
      <w:r w:rsidRPr="00672F0C">
        <w:tab/>
        <w:t>L'objet de la déclaration visé au point 4 est conforme à la législation communautaire d'harmonisation applicable : ………</w:t>
      </w:r>
    </w:p>
    <w:p w:rsidR="00BB166C" w:rsidRPr="00672F0C" w:rsidRDefault="00BB166C" w:rsidP="000E01B8">
      <w:pPr>
        <w:pStyle w:val="Point0"/>
        <w:spacing w:before="0" w:line="240" w:lineRule="auto"/>
        <w:outlineLvl w:val="0"/>
      </w:pPr>
      <w:r w:rsidRPr="00672F0C">
        <w:t>6.</w:t>
      </w:r>
      <w:r w:rsidRPr="00672F0C">
        <w:tab/>
        <w:t>Références des normes harmonisées pertinentes appliquées ou des spécifications par rapport auxque</w:t>
      </w:r>
      <w:r>
        <w:t>lles la conformité est déclarée :</w:t>
      </w:r>
    </w:p>
    <w:p w:rsidR="00BB166C" w:rsidRPr="000C342D" w:rsidRDefault="00BB166C" w:rsidP="000E01B8">
      <w:pPr>
        <w:pStyle w:val="Point0"/>
        <w:spacing w:before="0" w:line="240" w:lineRule="auto"/>
        <w:outlineLvl w:val="0"/>
      </w:pPr>
      <w:r w:rsidRPr="00672F0C">
        <w:t>7.</w:t>
      </w:r>
      <w:r w:rsidRPr="00672F0C">
        <w:tab/>
        <w:t>Le cas échéant: l'organisme notifié … (nom, numéro) … a effectué … (description de l'intervention) et a établi l'attestation : ….</w:t>
      </w:r>
    </w:p>
    <w:p w:rsidR="00BB166C" w:rsidRPr="00672F0C" w:rsidRDefault="00BB166C" w:rsidP="000E01B8">
      <w:pPr>
        <w:pStyle w:val="Point0"/>
        <w:spacing w:before="0" w:line="240" w:lineRule="auto"/>
        <w:outlineLvl w:val="0"/>
      </w:pPr>
      <w:r w:rsidRPr="00672F0C">
        <w:t>8.</w:t>
      </w:r>
      <w:r w:rsidRPr="00672F0C">
        <w:tab/>
        <w:t>Informations complémentaires :</w:t>
      </w:r>
    </w:p>
    <w:p w:rsidR="00BB166C" w:rsidRPr="000C342D" w:rsidRDefault="00BB166C" w:rsidP="000E01B8">
      <w:pPr>
        <w:pStyle w:val="Text1"/>
        <w:spacing w:before="0" w:line="240" w:lineRule="auto"/>
        <w:jc w:val="both"/>
      </w:pPr>
      <w:r w:rsidRPr="000C342D">
        <w:t xml:space="preserve">Signé </w:t>
      </w:r>
      <w:r w:rsidRPr="000C342D">
        <w:rPr>
          <w:rStyle w:val="LineNumber"/>
        </w:rPr>
        <w:t>par</w:t>
      </w:r>
      <w:r>
        <w:t xml:space="preserve"> et au nom de :</w:t>
      </w:r>
      <w:r w:rsidRPr="000C342D">
        <w:t xml:space="preserve"> …………………………</w:t>
      </w:r>
    </w:p>
    <w:p w:rsidR="00BB166C" w:rsidRPr="000C342D" w:rsidRDefault="00BB166C" w:rsidP="000E01B8">
      <w:pPr>
        <w:pStyle w:val="Text1"/>
        <w:spacing w:before="0" w:line="240" w:lineRule="auto"/>
        <w:jc w:val="both"/>
      </w:pPr>
      <w:r w:rsidRPr="000C342D">
        <w:t xml:space="preserve">(date et </w:t>
      </w:r>
      <w:r w:rsidRPr="000C342D">
        <w:rPr>
          <w:rStyle w:val="LineNumber"/>
        </w:rPr>
        <w:t>lieu</w:t>
      </w:r>
      <w:r w:rsidRPr="000C342D">
        <w:t xml:space="preserve"> d'établissement)</w:t>
      </w:r>
    </w:p>
    <w:p w:rsidR="00BB166C" w:rsidRDefault="00BB166C" w:rsidP="000E01B8">
      <w:pPr>
        <w:pStyle w:val="Text1"/>
        <w:spacing w:before="0" w:line="240" w:lineRule="auto"/>
        <w:jc w:val="both"/>
      </w:pPr>
      <w:r w:rsidRPr="000C342D">
        <w:t xml:space="preserve">(nom, </w:t>
      </w:r>
      <w:r w:rsidRPr="000C342D">
        <w:rPr>
          <w:rStyle w:val="LineNumber"/>
        </w:rPr>
        <w:t>fonction</w:t>
      </w:r>
      <w:r w:rsidRPr="000C342D">
        <w:t>) (signature)</w:t>
      </w:r>
    </w:p>
    <w:p w:rsidR="00BB166C" w:rsidRPr="000C342D" w:rsidRDefault="00BB166C" w:rsidP="000E01B8">
      <w:pPr>
        <w:pStyle w:val="Text1"/>
        <w:spacing w:before="0" w:line="240" w:lineRule="auto"/>
        <w:jc w:val="both"/>
      </w:pPr>
      <w:r>
        <w:br w:type="page"/>
      </w:r>
    </w:p>
    <w:p w:rsidR="00BB166C" w:rsidRPr="00FE5DF1" w:rsidRDefault="00BB166C" w:rsidP="000E01B8">
      <w:pPr>
        <w:pStyle w:val="Annexetitreacte"/>
        <w:spacing w:before="0" w:line="240" w:lineRule="auto"/>
        <w:outlineLvl w:val="0"/>
        <w:rPr>
          <w:u w:val="none"/>
        </w:rPr>
      </w:pPr>
      <w:r w:rsidRPr="00FE5DF1">
        <w:rPr>
          <w:u w:val="none"/>
        </w:rPr>
        <w:t>Annexe IV</w:t>
      </w:r>
    </w:p>
    <w:p w:rsidR="00BB166C" w:rsidRPr="00FE5DF1" w:rsidRDefault="00BB166C" w:rsidP="000E01B8">
      <w:pPr>
        <w:pStyle w:val="NormalCentered"/>
        <w:spacing w:before="0" w:line="240" w:lineRule="auto"/>
        <w:rPr>
          <w:b/>
        </w:rPr>
      </w:pPr>
      <w:r>
        <w:rPr>
          <w:b/>
        </w:rPr>
        <w:t>Documentation technique</w:t>
      </w:r>
    </w:p>
    <w:p w:rsidR="00BB166C" w:rsidRPr="000C342D" w:rsidRDefault="00BB166C" w:rsidP="000E01B8">
      <w:pPr>
        <w:spacing w:before="0" w:line="240" w:lineRule="auto"/>
        <w:jc w:val="both"/>
      </w:pPr>
      <w:r w:rsidRPr="000C342D">
        <w:t xml:space="preserve">Dans la mesure nécessaire à l'évaluation, le </w:t>
      </w:r>
      <w:r>
        <w:t>documentation technique</w:t>
      </w:r>
      <w:r w:rsidRPr="000C342D">
        <w:t xml:space="preserve"> visé à l'article 2</w:t>
      </w:r>
      <w:r>
        <w:t>0</w:t>
      </w:r>
      <w:r w:rsidRPr="000C342D">
        <w:t xml:space="preserve"> contient, n</w:t>
      </w:r>
      <w:r>
        <w:t>otamment, les éléments suivants :</w:t>
      </w:r>
    </w:p>
    <w:p w:rsidR="00BB166C" w:rsidRPr="000C342D" w:rsidRDefault="00BB166C" w:rsidP="000E01B8">
      <w:pPr>
        <w:pStyle w:val="Point0"/>
        <w:spacing w:before="0" w:line="240" w:lineRule="auto"/>
        <w:jc w:val="both"/>
      </w:pPr>
      <w:r w:rsidRPr="000C342D">
        <w:t>a)</w:t>
      </w:r>
      <w:r w:rsidRPr="000C342D">
        <w:tab/>
        <w:t>une description détaillée de la conception et de la fabrication, y compris une liste des composants et des matériaux utilisés dans les jouets, ainsi que les fiches de données de sécurité relatives aux substances chimiques utilisées à obtenir auprès des fourn</w:t>
      </w:r>
      <w:r>
        <w:t>isseurs de substances chimiques ;</w:t>
      </w:r>
    </w:p>
    <w:p w:rsidR="00BB166C" w:rsidRPr="000C342D" w:rsidRDefault="00BB166C" w:rsidP="000E01B8">
      <w:pPr>
        <w:pStyle w:val="Point0"/>
        <w:spacing w:before="0" w:line="240" w:lineRule="auto"/>
        <w:jc w:val="both"/>
      </w:pPr>
      <w:r w:rsidRPr="000C342D">
        <w:t>b)</w:t>
      </w:r>
      <w:r w:rsidRPr="000C342D">
        <w:tab/>
        <w:t>la ou les évaluations de la sécurité eff</w:t>
      </w:r>
      <w:r>
        <w:t>ectuées en vertu de l'article 16 ;</w:t>
      </w:r>
    </w:p>
    <w:p w:rsidR="00BB166C" w:rsidRPr="000C342D" w:rsidRDefault="00BB166C" w:rsidP="000E01B8">
      <w:pPr>
        <w:pStyle w:val="Point0"/>
        <w:spacing w:before="0" w:line="240" w:lineRule="auto"/>
        <w:jc w:val="both"/>
      </w:pPr>
      <w:r w:rsidRPr="000C342D">
        <w:t>c)</w:t>
      </w:r>
      <w:r w:rsidRPr="000C342D">
        <w:tab/>
        <w:t>une description de la procédure su</w:t>
      </w:r>
      <w:r>
        <w:t>ivie pour évaluer la conformité ;</w:t>
      </w:r>
    </w:p>
    <w:p w:rsidR="00BB166C" w:rsidRPr="000C342D" w:rsidRDefault="00BB166C" w:rsidP="000E01B8">
      <w:pPr>
        <w:pStyle w:val="Point0"/>
        <w:spacing w:before="0" w:line="240" w:lineRule="auto"/>
        <w:jc w:val="both"/>
      </w:pPr>
      <w:r w:rsidRPr="000C342D">
        <w:t>d)</w:t>
      </w:r>
      <w:r w:rsidRPr="000C342D">
        <w:tab/>
        <w:t xml:space="preserve">une copie de </w:t>
      </w:r>
      <w:r>
        <w:t>la déclaration CE de conformité ;</w:t>
      </w:r>
    </w:p>
    <w:p w:rsidR="00BB166C" w:rsidRPr="000C342D" w:rsidRDefault="00BB166C" w:rsidP="000E01B8">
      <w:pPr>
        <w:pStyle w:val="Point0"/>
        <w:spacing w:before="0" w:line="240" w:lineRule="auto"/>
        <w:jc w:val="both"/>
      </w:pPr>
      <w:r w:rsidRPr="000C342D">
        <w:t>e)</w:t>
      </w:r>
      <w:r w:rsidRPr="000C342D">
        <w:tab/>
        <w:t xml:space="preserve">l'adresse des lieux </w:t>
      </w:r>
      <w:r>
        <w:t>de fabrication et d'entreposage ;</w:t>
      </w:r>
    </w:p>
    <w:p w:rsidR="00BB166C" w:rsidRPr="000C342D" w:rsidRDefault="00BB166C" w:rsidP="000E01B8">
      <w:pPr>
        <w:pStyle w:val="Point0"/>
        <w:spacing w:before="0" w:line="240" w:lineRule="auto"/>
        <w:jc w:val="both"/>
      </w:pPr>
      <w:r w:rsidRPr="000C342D">
        <w:t>f)</w:t>
      </w:r>
      <w:r w:rsidRPr="000C342D">
        <w:tab/>
        <w:t>copies des documents que le fabricant a communiqués à l'organisme no</w:t>
      </w:r>
      <w:r>
        <w:t>tifié, si ce dernier intervient ;</w:t>
      </w:r>
    </w:p>
    <w:p w:rsidR="00BB166C" w:rsidRPr="000726D1" w:rsidRDefault="00BB166C" w:rsidP="000E01B8">
      <w:pPr>
        <w:pStyle w:val="Point0"/>
        <w:spacing w:before="0" w:line="240" w:lineRule="auto"/>
        <w:jc w:val="both"/>
      </w:pPr>
      <w:r w:rsidRPr="000C342D">
        <w:t>g)</w:t>
      </w:r>
      <w:r w:rsidRPr="000C342D">
        <w:tab/>
        <w:t xml:space="preserve">les rapports d'essais et la description des moyens par lesquels le fabricant garantit la conformité de la production aux normes harmonisées, si ce fabricant a suivi la procédure </w:t>
      </w:r>
      <w:r w:rsidRPr="000726D1">
        <w:t>de contrôle interne de la fabrication visée à l'article 18, paragraphe 2, et</w:t>
      </w:r>
    </w:p>
    <w:p w:rsidR="00BB166C" w:rsidRPr="000726D1" w:rsidRDefault="00BB166C" w:rsidP="000E01B8">
      <w:pPr>
        <w:pStyle w:val="Point0"/>
        <w:spacing w:before="0" w:line="240" w:lineRule="auto"/>
        <w:jc w:val="both"/>
      </w:pPr>
      <w:r w:rsidRPr="000C342D">
        <w:t>h)</w:t>
      </w:r>
      <w:r w:rsidRPr="000C342D">
        <w:tab/>
        <w:t xml:space="preserve">une copie de l'attestation de l'examen CE de type, une description des moyens par lesquels le fabricant garanti la conformité de la production au type de produit décrit dans l'attestation de l'examen CE de type, ainsi que des copies des documents que le fabricant a communiqués à l'organisme notifié, si le fabricant a </w:t>
      </w:r>
      <w:r w:rsidRPr="00A77188">
        <w:t>soumis le jouet à un</w:t>
      </w:r>
      <w:r w:rsidRPr="00A77188" w:rsidDel="00A77188">
        <w:t xml:space="preserve"> </w:t>
      </w:r>
      <w:r w:rsidRPr="000C342D">
        <w:t xml:space="preserve">examen CE de </w:t>
      </w:r>
      <w:r w:rsidRPr="000726D1">
        <w:t>type et suivi la procédure de conformité au type visées à l'article 18, paragraphe 3.</w:t>
      </w:r>
    </w:p>
    <w:p w:rsidR="00BB166C" w:rsidRPr="0072087F" w:rsidRDefault="00BB166C" w:rsidP="000E01B8">
      <w:pPr>
        <w:pStyle w:val="Annexetitreacte"/>
        <w:spacing w:before="0" w:line="240" w:lineRule="auto"/>
        <w:outlineLvl w:val="0"/>
        <w:rPr>
          <w:u w:val="none"/>
        </w:rPr>
      </w:pPr>
      <w:r>
        <w:br w:type="page"/>
      </w:r>
    </w:p>
    <w:p w:rsidR="00BB166C" w:rsidRPr="0072087F" w:rsidRDefault="00BB166C" w:rsidP="000E01B8">
      <w:pPr>
        <w:pStyle w:val="Annexetitreacte"/>
        <w:spacing w:before="0" w:line="240" w:lineRule="auto"/>
        <w:outlineLvl w:val="0"/>
        <w:rPr>
          <w:u w:val="none"/>
        </w:rPr>
      </w:pPr>
      <w:r w:rsidRPr="0072087F">
        <w:rPr>
          <w:u w:val="none"/>
        </w:rPr>
        <w:t>Annexe V</w:t>
      </w:r>
    </w:p>
    <w:p w:rsidR="00BB166C" w:rsidRPr="000C342D" w:rsidRDefault="00BB166C" w:rsidP="000E01B8">
      <w:pPr>
        <w:pStyle w:val="Annexetitreacte"/>
        <w:spacing w:before="0" w:line="240" w:lineRule="auto"/>
        <w:outlineLvl w:val="0"/>
      </w:pPr>
      <w:r>
        <w:rPr>
          <w:u w:val="none"/>
        </w:rPr>
        <w:t>Avertissements visés à l’article  11</w:t>
      </w:r>
      <w:r w:rsidRPr="0072087F">
        <w:rPr>
          <w:u w:val="none"/>
        </w:rPr>
        <w:t xml:space="preserve"> </w:t>
      </w:r>
      <w:r w:rsidRPr="0072087F">
        <w:rPr>
          <w:u w:val="none"/>
        </w:rPr>
        <w:br/>
      </w:r>
    </w:p>
    <w:p w:rsidR="00BB166C" w:rsidRPr="0072087F" w:rsidRDefault="00BB166C" w:rsidP="000E01B8">
      <w:pPr>
        <w:pStyle w:val="NormalCentered"/>
        <w:spacing w:before="0" w:line="240" w:lineRule="auto"/>
        <w:jc w:val="both"/>
        <w:rPr>
          <w:b/>
        </w:rPr>
      </w:pPr>
      <w:r w:rsidRPr="0072087F">
        <w:rPr>
          <w:b/>
        </w:rPr>
        <w:t>Partie A - Avertissements généraux</w:t>
      </w:r>
    </w:p>
    <w:p w:rsidR="00BB166C" w:rsidRPr="000C342D" w:rsidRDefault="00BB166C" w:rsidP="000E01B8">
      <w:pPr>
        <w:spacing w:before="0" w:line="240" w:lineRule="auto"/>
        <w:jc w:val="both"/>
        <w:rPr>
          <w:b/>
        </w:rPr>
      </w:pPr>
      <w:r w:rsidRPr="000C342D">
        <w:t>Les limites concernant l'utilisateur visées à l'article 11, paragraphe 1, comprennent au moins un âge minimum ou maximum et, le cas échéant, les capacités de l'utilisateur, un poids minimum ou maximum, ainsi que la nécessité de veiller à ce que le jouet soit utilisé sous la surveillance d'un adulte.</w:t>
      </w:r>
    </w:p>
    <w:p w:rsidR="00BB166C" w:rsidRPr="0072087F" w:rsidRDefault="00BB166C" w:rsidP="000E01B8">
      <w:pPr>
        <w:pStyle w:val="NormalCentered"/>
        <w:spacing w:before="0" w:line="240" w:lineRule="auto"/>
        <w:jc w:val="both"/>
        <w:rPr>
          <w:b/>
        </w:rPr>
      </w:pPr>
      <w:r w:rsidRPr="0072087F">
        <w:rPr>
          <w:b/>
        </w:rPr>
        <w:t>Partie B – Avertissements spécifiques et indications des précautions d’emploi pour certaines catégories de jouets</w:t>
      </w:r>
    </w:p>
    <w:p w:rsidR="00BB166C" w:rsidRPr="00E33E69" w:rsidRDefault="00BB166C" w:rsidP="000E01B8">
      <w:pPr>
        <w:pStyle w:val="Point0"/>
        <w:spacing w:before="0" w:line="240" w:lineRule="auto"/>
        <w:jc w:val="both"/>
        <w:outlineLvl w:val="0"/>
        <w:rPr>
          <w:b/>
          <w:u w:val="single"/>
        </w:rPr>
      </w:pPr>
      <w:r w:rsidRPr="00E33E69">
        <w:rPr>
          <w:b/>
        </w:rPr>
        <w:t>1.</w:t>
      </w:r>
      <w:r w:rsidRPr="00E33E69">
        <w:rPr>
          <w:b/>
        </w:rPr>
        <w:tab/>
        <w:t>Jouets non destinés aux enfants de moins de 36 mois</w:t>
      </w:r>
    </w:p>
    <w:p w:rsidR="00BB166C" w:rsidRPr="000C342D" w:rsidRDefault="00BB166C" w:rsidP="000E01B8">
      <w:pPr>
        <w:pStyle w:val="Text1"/>
        <w:spacing w:before="0" w:line="240" w:lineRule="auto"/>
        <w:jc w:val="both"/>
        <w:rPr>
          <w:u w:val="single"/>
        </w:rPr>
      </w:pPr>
      <w:r w:rsidRPr="000C342D">
        <w:t xml:space="preserve">Les jouets qui sont susceptibles de présenter un danger pour les enfants de moins de 36 mois doivent s'accompagner d'un avertissement, </w:t>
      </w:r>
      <w:r w:rsidRPr="000B14E6">
        <w:t>tel que:</w:t>
      </w:r>
      <w:r w:rsidRPr="000B14E6" w:rsidDel="000B14E6">
        <w:t xml:space="preserve"> </w:t>
      </w:r>
      <w:r w:rsidRPr="000C342D">
        <w:t>"</w:t>
      </w:r>
      <w:r>
        <w:t>N</w:t>
      </w:r>
      <w:r w:rsidRPr="000C342D">
        <w:t>e convient pas aux enfants de moins de 36 mois" ou "</w:t>
      </w:r>
      <w:r>
        <w:t>N</w:t>
      </w:r>
      <w:r w:rsidRPr="000C342D">
        <w:t xml:space="preserve">e convient pas aux enfants de moins de trois ans", ou </w:t>
      </w:r>
      <w:r w:rsidRPr="000B14E6">
        <w:t>un avertissement sous la forme du</w:t>
      </w:r>
      <w:r w:rsidRPr="000C342D">
        <w:t xml:space="preserve"> graphique suivant:</w:t>
      </w:r>
    </w:p>
    <w:p w:rsidR="00BB166C" w:rsidRPr="000C342D" w:rsidRDefault="00BB166C" w:rsidP="000E01B8">
      <w:pPr>
        <w:pStyle w:val="Text1"/>
        <w:spacing w:before="0" w:line="240" w:lineRule="auto"/>
        <w:jc w:val="center"/>
      </w:pPr>
      <w:r w:rsidRPr="00041D97">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9.5pt;height:108.75pt;visibility:visible">
            <v:imagedata r:id="rId7" o:title=""/>
          </v:shape>
        </w:pict>
      </w:r>
    </w:p>
    <w:p w:rsidR="00BB166C" w:rsidRPr="000C342D" w:rsidRDefault="00BB166C" w:rsidP="000E01B8">
      <w:pPr>
        <w:pStyle w:val="Text1"/>
        <w:spacing w:before="0" w:line="240" w:lineRule="auto"/>
        <w:jc w:val="both"/>
      </w:pPr>
      <w:r w:rsidRPr="000C342D">
        <w:t>Ces avertissements s'accompagnent d'une brève indication, qui peut figurer dans la notice d'emploi, sur le danger précis justifiant cette restriction.</w:t>
      </w:r>
    </w:p>
    <w:p w:rsidR="00BB166C" w:rsidRPr="000C342D" w:rsidRDefault="00BB166C" w:rsidP="000E01B8">
      <w:pPr>
        <w:pStyle w:val="Text1"/>
        <w:spacing w:before="0" w:line="240" w:lineRule="auto"/>
        <w:jc w:val="both"/>
      </w:pPr>
      <w:r w:rsidRPr="000C342D">
        <w:t>Le présent point ne s'applique pas aux jouets qui, en raison de leurs fonctions, dimensions, caractéristiques, propriétés ou autres éléments probants, ne sont manifestement pas susceptibles d'être destinés aux enfants de moins de 36 mois.</w:t>
      </w:r>
    </w:p>
    <w:p w:rsidR="00BB166C" w:rsidRPr="00E33E69" w:rsidRDefault="00BB166C" w:rsidP="000E01B8">
      <w:pPr>
        <w:pStyle w:val="Point0"/>
        <w:spacing w:before="0" w:line="240" w:lineRule="auto"/>
        <w:jc w:val="both"/>
        <w:outlineLvl w:val="0"/>
        <w:rPr>
          <w:b/>
        </w:rPr>
      </w:pPr>
      <w:r w:rsidRPr="00E33E69">
        <w:rPr>
          <w:b/>
        </w:rPr>
        <w:t>2.</w:t>
      </w:r>
      <w:r w:rsidRPr="00E33E69">
        <w:rPr>
          <w:b/>
        </w:rPr>
        <w:tab/>
        <w:t>Jouets d'activité</w:t>
      </w:r>
    </w:p>
    <w:p w:rsidR="00BB166C" w:rsidRDefault="00BB166C" w:rsidP="000E01B8">
      <w:pPr>
        <w:pStyle w:val="Text1"/>
        <w:spacing w:before="0" w:line="240" w:lineRule="auto"/>
        <w:jc w:val="both"/>
      </w:pPr>
      <w:r w:rsidRPr="000C342D">
        <w:t xml:space="preserve">Les jouets d'activité portent l'avertissement </w:t>
      </w:r>
      <w:r w:rsidRPr="000B14E6">
        <w:t xml:space="preserve">suivant: </w:t>
      </w:r>
    </w:p>
    <w:p w:rsidR="00BB166C" w:rsidRPr="000C342D" w:rsidRDefault="00BB166C" w:rsidP="000E01B8">
      <w:pPr>
        <w:pStyle w:val="Text1"/>
        <w:spacing w:before="0" w:line="240" w:lineRule="auto"/>
        <w:jc w:val="both"/>
      </w:pPr>
      <w:r w:rsidRPr="000C342D">
        <w:t>"</w:t>
      </w:r>
      <w:r>
        <w:t>R</w:t>
      </w:r>
      <w:r w:rsidRPr="000C342D">
        <w:t>éservé à un usage privé".</w:t>
      </w:r>
    </w:p>
    <w:p w:rsidR="00BB166C" w:rsidRPr="000C342D" w:rsidRDefault="00BB166C" w:rsidP="000E01B8">
      <w:pPr>
        <w:pStyle w:val="Text1"/>
        <w:spacing w:before="0" w:line="240" w:lineRule="auto"/>
        <w:jc w:val="both"/>
      </w:pPr>
      <w:r w:rsidRPr="000C342D">
        <w:t>Les jouets d'activité attachés à une traverse et, le cas échéant, d'autres jouets d'activité sont accompagnés d'une notice d'emploi attirant l'attention sur la nécessité d'effectuer des contrôles et des entretiens périodiques de leurs parties les plus importantes (suspensions, attaches, fixation au sol, etc.) et précisant que, en cas d'omission de ces contrôles, le jouet pourrait présenter des risques de chute ou de renversement.</w:t>
      </w:r>
    </w:p>
    <w:p w:rsidR="00BB166C" w:rsidRPr="000C342D" w:rsidRDefault="00BB166C" w:rsidP="000E01B8">
      <w:pPr>
        <w:pStyle w:val="Text1"/>
        <w:spacing w:before="0" w:line="240" w:lineRule="auto"/>
        <w:jc w:val="both"/>
      </w:pPr>
      <w:r w:rsidRPr="000C342D">
        <w:t>Des instructions doivent également être données sur la façon correcte de les assembler, en indiquant les parties qui peuvent présenter des dangers si l'assemblage n'est pas correct. Des informations précises sur la surface appropriée doivent être fournies.</w:t>
      </w:r>
    </w:p>
    <w:p w:rsidR="00BB166C" w:rsidRPr="00E33E69" w:rsidRDefault="00BB166C" w:rsidP="000E01B8">
      <w:pPr>
        <w:pStyle w:val="Point0"/>
        <w:spacing w:before="0" w:line="240" w:lineRule="auto"/>
        <w:jc w:val="both"/>
        <w:rPr>
          <w:b/>
        </w:rPr>
      </w:pPr>
      <w:r w:rsidRPr="00E33E69">
        <w:rPr>
          <w:b/>
        </w:rPr>
        <w:t>3.</w:t>
      </w:r>
      <w:r w:rsidRPr="00E33E69">
        <w:rPr>
          <w:b/>
        </w:rPr>
        <w:tab/>
        <w:t>Jouets fonctionnels</w:t>
      </w:r>
    </w:p>
    <w:p w:rsidR="00BB166C" w:rsidRDefault="00BB166C" w:rsidP="000E01B8">
      <w:pPr>
        <w:pStyle w:val="Text1"/>
        <w:spacing w:before="0" w:line="240" w:lineRule="auto"/>
        <w:jc w:val="both"/>
      </w:pPr>
      <w:r w:rsidRPr="000C342D">
        <w:t xml:space="preserve">Les jouets fonctionnels portent l'avertissement </w:t>
      </w:r>
      <w:r w:rsidRPr="000B14E6">
        <w:t>suivant:</w:t>
      </w:r>
    </w:p>
    <w:p w:rsidR="00BB166C" w:rsidRPr="000C342D" w:rsidRDefault="00BB166C" w:rsidP="000E01B8">
      <w:pPr>
        <w:pStyle w:val="Text1"/>
        <w:spacing w:before="0" w:line="240" w:lineRule="auto"/>
        <w:jc w:val="both"/>
      </w:pPr>
      <w:r w:rsidRPr="000C342D">
        <w:t>"</w:t>
      </w:r>
      <w:r w:rsidRPr="000B14E6">
        <w:t xml:space="preserve"> À</w:t>
      </w:r>
      <w:r w:rsidRPr="000C342D">
        <w:t xml:space="preserve"> utiliser sous la surveillance d'un adulte".</w:t>
      </w:r>
    </w:p>
    <w:p w:rsidR="00BB166C" w:rsidRPr="000C342D" w:rsidRDefault="00BB166C" w:rsidP="000E01B8">
      <w:pPr>
        <w:pStyle w:val="Text1"/>
        <w:spacing w:before="0" w:line="240" w:lineRule="auto"/>
        <w:jc w:val="both"/>
      </w:pPr>
      <w:r w:rsidRPr="000C342D">
        <w:t xml:space="preserve">Ils sont, en outre, accompagnés d'une notice d'emploi mentionnant les instructions de fonctionnement ainsi que les précautions à suivre par l'utilisateur, avec l'avertissement qu'en cas d'omission de ces précautions, celui-ci s'exposerait aux </w:t>
      </w:r>
      <w:r w:rsidRPr="000B14E6">
        <w:t>dangers</w:t>
      </w:r>
      <w:r w:rsidRPr="000C342D">
        <w:t xml:space="preserve"> propres, à préciser, de l'appareil ou produit dont le jouet constitue un modèle réduit ou une imitation. Doit également être indiqué que le jouet doit être maintenu hors de la portée d'enfants d'un certain âge, lequel doit être précisé par le fabricant.</w:t>
      </w:r>
    </w:p>
    <w:p w:rsidR="00BB166C" w:rsidRPr="00E33E69" w:rsidRDefault="00BB166C" w:rsidP="000E01B8">
      <w:pPr>
        <w:pStyle w:val="Point0"/>
        <w:spacing w:before="0" w:line="240" w:lineRule="auto"/>
        <w:jc w:val="both"/>
        <w:rPr>
          <w:b/>
        </w:rPr>
      </w:pPr>
      <w:r w:rsidRPr="00E33E69">
        <w:rPr>
          <w:b/>
        </w:rPr>
        <w:t>4.</w:t>
      </w:r>
      <w:r w:rsidRPr="00E33E69">
        <w:rPr>
          <w:b/>
        </w:rPr>
        <w:tab/>
        <w:t>Jouets chimiques</w:t>
      </w:r>
    </w:p>
    <w:p w:rsidR="00BB166C" w:rsidRPr="000C342D" w:rsidRDefault="00BB166C" w:rsidP="000E01B8">
      <w:pPr>
        <w:pStyle w:val="Text1"/>
        <w:spacing w:before="0" w:line="240" w:lineRule="auto"/>
        <w:jc w:val="both"/>
      </w:pPr>
      <w:r w:rsidRPr="000C342D">
        <w:t xml:space="preserve">Sans préjudice de l'application des dispositions prévues par la législation communautaire applicable à la classification, l'emballage et l'étiquetage de certaines substances et mélanges dangereux, la notice d'emploi des jouets contenant, en tant que telles, ces substances ou mélanges porte l'indication du caractère dangereux de </w:t>
      </w:r>
      <w:r w:rsidRPr="00966AFF">
        <w:t>ceux-ci</w:t>
      </w:r>
      <w:r w:rsidRPr="000C342D">
        <w:t xml:space="preserve"> et des précautions à prendre par les utilisateurs afin d'éviter les </w:t>
      </w:r>
      <w:r w:rsidRPr="00966AFF">
        <w:t>dangers</w:t>
      </w:r>
      <w:r w:rsidRPr="000C342D">
        <w:t xml:space="preserve"> s'y rapportant à préciser de manière concise selon le type de jouet. Doit également être mentionné les soins de première urgence à donner en cas d'accidents graves dus à l'utilisation de ce type de jouets. Doit également être indiqué que ces jouets doivent être maintenus hors de la portée d'enfants d'un certain âge, lequel doit être précisé par le fabricant.</w:t>
      </w:r>
    </w:p>
    <w:p w:rsidR="00BB166C" w:rsidRPr="000C342D" w:rsidRDefault="00BB166C" w:rsidP="000E01B8">
      <w:pPr>
        <w:pStyle w:val="Text1"/>
        <w:spacing w:before="0" w:line="240" w:lineRule="auto"/>
        <w:jc w:val="both"/>
      </w:pPr>
      <w:r w:rsidRPr="000C342D">
        <w:t>Outre les indications prévues au premier alinéa, les jouets chimiques doivent porter sur l'emballage l'avertissement suivant</w:t>
      </w:r>
      <w:r>
        <w:t> :</w:t>
      </w:r>
    </w:p>
    <w:p w:rsidR="00BB166C" w:rsidRPr="000C342D" w:rsidRDefault="00BB166C" w:rsidP="000E01B8">
      <w:pPr>
        <w:pStyle w:val="Text1"/>
        <w:spacing w:before="0" w:line="240" w:lineRule="auto"/>
        <w:jc w:val="both"/>
      </w:pPr>
      <w:r w:rsidRPr="000C342D">
        <w:t>"</w:t>
      </w:r>
      <w:r>
        <w:t>N</w:t>
      </w:r>
      <w:r w:rsidRPr="000C342D">
        <w:t>e convient pas aux enfants de moins de</w:t>
      </w:r>
      <w:r>
        <w:t xml:space="preserve"> </w:t>
      </w:r>
      <w:r w:rsidRPr="00966AFF">
        <w:t>(*)</w:t>
      </w:r>
      <w:r w:rsidRPr="00966AFF" w:rsidDel="00966AFF">
        <w:t xml:space="preserve"> </w:t>
      </w:r>
      <w:r w:rsidRPr="000C342D">
        <w:t>ans</w:t>
      </w:r>
      <w:r>
        <w:t xml:space="preserve"> (âge à préciser par le fabricant)</w:t>
      </w:r>
      <w:r w:rsidRPr="000C342D">
        <w:t>. À utiliser sous la surveillance d'un adulte".</w:t>
      </w:r>
    </w:p>
    <w:p w:rsidR="00BB166C" w:rsidRPr="000C342D" w:rsidRDefault="00BB166C" w:rsidP="000E01B8">
      <w:pPr>
        <w:pStyle w:val="Text1"/>
        <w:spacing w:before="0" w:line="240" w:lineRule="auto"/>
        <w:jc w:val="both"/>
      </w:pPr>
      <w:r w:rsidRPr="000C342D">
        <w:t>Sont notamment considérés comme "jouets chimiques": les boîtes d'expériences chimiques, les boîtes d'inclusion plastique, les ateliers miniatures de céramiste, émailleur, photographie et jouets analogues qui provoquent une réaction chimique ou une modification analogue de la substance en cours d'utilisation.</w:t>
      </w:r>
    </w:p>
    <w:p w:rsidR="00BB166C" w:rsidRPr="00E33E69" w:rsidRDefault="00BB166C" w:rsidP="000E01B8">
      <w:pPr>
        <w:pStyle w:val="Point0"/>
        <w:spacing w:before="0" w:line="240" w:lineRule="auto"/>
        <w:jc w:val="both"/>
        <w:rPr>
          <w:b/>
        </w:rPr>
      </w:pPr>
      <w:r w:rsidRPr="00E33E69">
        <w:rPr>
          <w:b/>
        </w:rPr>
        <w:t>5.</w:t>
      </w:r>
      <w:r w:rsidRPr="00E33E69">
        <w:rPr>
          <w:b/>
        </w:rPr>
        <w:tab/>
        <w:t>Patins, patins à roulettes, patins en ligne, planches à roulettes, scooters et bicyclettes pour enfants</w:t>
      </w:r>
    </w:p>
    <w:p w:rsidR="00BB166C" w:rsidRPr="000C342D" w:rsidRDefault="00BB166C" w:rsidP="000E01B8">
      <w:pPr>
        <w:pStyle w:val="Text1"/>
        <w:spacing w:before="0" w:line="240" w:lineRule="auto"/>
        <w:jc w:val="both"/>
      </w:pPr>
      <w:r w:rsidRPr="000C342D">
        <w:t>Ces jouets, s'ils sont présentés à la vente comme jouets, portent les avertissements suivants</w:t>
      </w:r>
      <w:r>
        <w:t> :</w:t>
      </w:r>
    </w:p>
    <w:p w:rsidR="00BB166C" w:rsidRPr="000C342D" w:rsidRDefault="00BB166C" w:rsidP="000E01B8">
      <w:pPr>
        <w:pStyle w:val="Text1"/>
        <w:spacing w:before="0" w:line="240" w:lineRule="auto"/>
        <w:jc w:val="both"/>
      </w:pPr>
      <w:r w:rsidRPr="000C342D">
        <w:t>"</w:t>
      </w:r>
      <w:r w:rsidRPr="00966AFF">
        <w:t xml:space="preserve"> À</w:t>
      </w:r>
      <w:r w:rsidRPr="00966AFF" w:rsidDel="00966AFF">
        <w:t xml:space="preserve"> </w:t>
      </w:r>
      <w:r w:rsidRPr="000C342D">
        <w:t>utiliser avec équipement de protection. Ne pas utiliser sur la voie publique".</w:t>
      </w:r>
    </w:p>
    <w:p w:rsidR="00BB166C" w:rsidRPr="000C342D" w:rsidRDefault="00BB166C" w:rsidP="000E01B8">
      <w:pPr>
        <w:pStyle w:val="Text1"/>
        <w:spacing w:before="0" w:line="240" w:lineRule="auto"/>
        <w:jc w:val="both"/>
      </w:pPr>
      <w:r w:rsidRPr="000C342D">
        <w:t>En outre, la notice d'emploi rappelle que l'utilisation du jouet doit se faire avec prudence, étant donné qu'elle exige beaucoup d'adresse, afin d'éviter des accidents, par chutes ou collisions, de l'utilisateur et des tiers. Des indications concernant l'équipement de protection conseillé (casques, gants, genouillères, coudières, etc.) doivent également être données.</w:t>
      </w:r>
    </w:p>
    <w:p w:rsidR="00BB166C" w:rsidRPr="00E33E69" w:rsidRDefault="00BB166C" w:rsidP="000E01B8">
      <w:pPr>
        <w:pStyle w:val="Point0"/>
        <w:spacing w:before="0" w:line="240" w:lineRule="auto"/>
        <w:jc w:val="both"/>
        <w:outlineLvl w:val="0"/>
        <w:rPr>
          <w:b/>
        </w:rPr>
      </w:pPr>
      <w:r w:rsidRPr="00E33E69">
        <w:rPr>
          <w:b/>
        </w:rPr>
        <w:t>6.</w:t>
      </w:r>
      <w:r w:rsidRPr="00E33E69">
        <w:rPr>
          <w:b/>
        </w:rPr>
        <w:tab/>
        <w:t>Jouets nautiques</w:t>
      </w:r>
    </w:p>
    <w:p w:rsidR="00BB166C" w:rsidRPr="000C342D" w:rsidRDefault="00BB166C" w:rsidP="000E01B8">
      <w:pPr>
        <w:pStyle w:val="Text1"/>
        <w:spacing w:before="0" w:line="240" w:lineRule="auto"/>
        <w:jc w:val="both"/>
      </w:pPr>
      <w:r w:rsidRPr="000C342D">
        <w:t xml:space="preserve">Les jouets </w:t>
      </w:r>
      <w:r w:rsidRPr="00966AFF">
        <w:t>aquatiques</w:t>
      </w:r>
      <w:r w:rsidRPr="00966AFF" w:rsidDel="00966AFF">
        <w:t xml:space="preserve"> </w:t>
      </w:r>
      <w:r w:rsidRPr="000C342D">
        <w:t>portent l'avertissement suivant</w:t>
      </w:r>
      <w:r>
        <w:t> :</w:t>
      </w:r>
    </w:p>
    <w:p w:rsidR="00BB166C" w:rsidRPr="000C342D" w:rsidRDefault="00BB166C" w:rsidP="000E01B8">
      <w:pPr>
        <w:pStyle w:val="Text1"/>
        <w:spacing w:before="0" w:line="240" w:lineRule="auto"/>
        <w:jc w:val="both"/>
      </w:pPr>
      <w:r w:rsidRPr="000C342D">
        <w:t>"</w:t>
      </w:r>
      <w:r w:rsidRPr="00966AFF">
        <w:t xml:space="preserve"> À</w:t>
      </w:r>
      <w:r w:rsidRPr="00966AFF" w:rsidDel="00966AFF">
        <w:t xml:space="preserve"> </w:t>
      </w:r>
      <w:r w:rsidRPr="000C342D">
        <w:t>n'utiliser qu'en eau où l'enfant a pied et sous la surveillance d'un adulte".</w:t>
      </w:r>
    </w:p>
    <w:p w:rsidR="00BB166C" w:rsidRPr="00E33E69" w:rsidRDefault="00BB166C" w:rsidP="000E01B8">
      <w:pPr>
        <w:pStyle w:val="Point0"/>
        <w:spacing w:before="0" w:line="240" w:lineRule="auto"/>
        <w:jc w:val="both"/>
        <w:outlineLvl w:val="0"/>
        <w:rPr>
          <w:b/>
        </w:rPr>
      </w:pPr>
      <w:r w:rsidRPr="00E33E69">
        <w:rPr>
          <w:b/>
        </w:rPr>
        <w:t>7.</w:t>
      </w:r>
      <w:r w:rsidRPr="00E33E69">
        <w:rPr>
          <w:b/>
        </w:rPr>
        <w:tab/>
        <w:t>Jouets contenus dans les denrées alimentaires</w:t>
      </w:r>
    </w:p>
    <w:p w:rsidR="00BB166C" w:rsidRPr="000C342D" w:rsidRDefault="00BB166C" w:rsidP="000E01B8">
      <w:pPr>
        <w:pStyle w:val="Text1"/>
        <w:spacing w:before="0" w:line="240" w:lineRule="auto"/>
        <w:jc w:val="both"/>
      </w:pPr>
      <w:r w:rsidRPr="000C342D">
        <w:t xml:space="preserve">Les jouets contenus dans les denrées alimentaires ou qui y sont </w:t>
      </w:r>
      <w:r w:rsidRPr="00966AFF">
        <w:t>mélangés</w:t>
      </w:r>
      <w:r w:rsidRPr="000C342D">
        <w:t xml:space="preserve"> portent l'avertissement suivant</w:t>
      </w:r>
      <w:r>
        <w:t> :</w:t>
      </w:r>
    </w:p>
    <w:p w:rsidR="00BB166C" w:rsidRPr="000C342D" w:rsidRDefault="00BB166C" w:rsidP="000E01B8">
      <w:pPr>
        <w:pStyle w:val="Text1"/>
        <w:spacing w:before="0" w:line="240" w:lineRule="auto"/>
        <w:jc w:val="both"/>
      </w:pPr>
      <w:r w:rsidRPr="000C342D">
        <w:t>"</w:t>
      </w:r>
      <w:r>
        <w:t>C</w:t>
      </w:r>
      <w:r w:rsidRPr="000C342D">
        <w:t>ontient un jouet. La surveillance d'un adulte est recommandée".</w:t>
      </w:r>
    </w:p>
    <w:p w:rsidR="00BB166C" w:rsidRPr="00E33E69" w:rsidRDefault="00BB166C" w:rsidP="000E01B8">
      <w:pPr>
        <w:pStyle w:val="Point0"/>
        <w:spacing w:before="0" w:line="240" w:lineRule="auto"/>
        <w:jc w:val="both"/>
        <w:rPr>
          <w:b/>
        </w:rPr>
      </w:pPr>
      <w:r w:rsidRPr="00E33E69">
        <w:rPr>
          <w:b/>
        </w:rPr>
        <w:t>8.</w:t>
      </w:r>
      <w:r w:rsidRPr="00E33E69">
        <w:rPr>
          <w:b/>
        </w:rPr>
        <w:tab/>
        <w:t>Imitations de masques protecteurs et de casques</w:t>
      </w:r>
    </w:p>
    <w:p w:rsidR="00BB166C" w:rsidRPr="000C342D" w:rsidRDefault="00BB166C" w:rsidP="000E01B8">
      <w:pPr>
        <w:pStyle w:val="Text1"/>
        <w:spacing w:before="0" w:line="240" w:lineRule="auto"/>
        <w:jc w:val="both"/>
      </w:pPr>
      <w:r w:rsidRPr="000C342D">
        <w:t>Les imitations de masques protecteurs et de casques doivent comporter l'avertissement suivant:</w:t>
      </w:r>
    </w:p>
    <w:p w:rsidR="00BB166C" w:rsidRPr="000C342D" w:rsidRDefault="00BB166C" w:rsidP="000E01B8">
      <w:pPr>
        <w:pStyle w:val="Text1"/>
        <w:spacing w:before="0" w:line="240" w:lineRule="auto"/>
        <w:jc w:val="both"/>
      </w:pPr>
      <w:r w:rsidRPr="000C342D">
        <w:t>"</w:t>
      </w:r>
      <w:r>
        <w:t>C</w:t>
      </w:r>
      <w:r w:rsidRPr="000C342D">
        <w:t>e jouet n'assure pas une protection.".</w:t>
      </w:r>
    </w:p>
    <w:p w:rsidR="00BB166C" w:rsidRPr="00E33E69" w:rsidRDefault="00BB166C" w:rsidP="000E01B8">
      <w:pPr>
        <w:pStyle w:val="Point0"/>
        <w:spacing w:before="0" w:line="240" w:lineRule="auto"/>
        <w:jc w:val="both"/>
        <w:rPr>
          <w:b/>
        </w:rPr>
      </w:pPr>
      <w:r w:rsidRPr="00E33E69">
        <w:rPr>
          <w:b/>
        </w:rPr>
        <w:t>9.</w:t>
      </w:r>
      <w:r w:rsidRPr="00E33E69">
        <w:rPr>
          <w:b/>
        </w:rPr>
        <w:tab/>
        <w:t>Jouets destinés à être suspendus au-dessus d'un berceau, d'un parc ou d'une poussette au moyen de fils, de cordes, d'élastiques ou de courroies</w:t>
      </w:r>
    </w:p>
    <w:p w:rsidR="00BB166C" w:rsidRPr="000C342D" w:rsidRDefault="00BB166C" w:rsidP="000E01B8">
      <w:pPr>
        <w:pStyle w:val="Text1"/>
        <w:spacing w:before="0" w:line="240" w:lineRule="auto"/>
        <w:jc w:val="both"/>
      </w:pPr>
      <w:r w:rsidRPr="000C342D">
        <w:t>Les jouets destinés à être suspendus au-dessus d'un berceau, d'un parc ou d'une poussette au moyen de fils, de cordes, d'élastiques ou de courroies, portent l'avertissement ci</w:t>
      </w:r>
      <w:r>
        <w:t>-</w:t>
      </w:r>
      <w:r w:rsidRPr="000C342D">
        <w:t xml:space="preserve">après sur l'emballage et cet avertissement est </w:t>
      </w:r>
      <w:r w:rsidRPr="00966AFF">
        <w:t>également indiqué</w:t>
      </w:r>
      <w:r w:rsidRPr="000C342D">
        <w:t xml:space="preserve"> de manière permanente sur le</w:t>
      </w:r>
      <w:r>
        <w:t xml:space="preserve"> </w:t>
      </w:r>
      <w:r w:rsidRPr="000C342D">
        <w:t>jouet</w:t>
      </w:r>
      <w:r>
        <w:t> :</w:t>
      </w:r>
    </w:p>
    <w:p w:rsidR="00BB166C" w:rsidRPr="000C342D" w:rsidRDefault="00BB166C" w:rsidP="000E01B8">
      <w:pPr>
        <w:pStyle w:val="Text1"/>
        <w:spacing w:before="0" w:line="240" w:lineRule="auto"/>
        <w:jc w:val="both"/>
      </w:pPr>
      <w:r w:rsidRPr="000C342D">
        <w:t>"</w:t>
      </w:r>
      <w:r>
        <w:t>A</w:t>
      </w:r>
      <w:r w:rsidRPr="000C342D">
        <w:t xml:space="preserve">fin d'éviter tout risque </w:t>
      </w:r>
      <w:r w:rsidRPr="00B73A72">
        <w:t>d’étranglement</w:t>
      </w:r>
      <w:r w:rsidRPr="000C342D">
        <w:t xml:space="preserve">, ôter le jouet dès que l'enfant </w:t>
      </w:r>
      <w:r>
        <w:t>tente de se mettre à quatre pattes ou de ramper</w:t>
      </w:r>
      <w:r w:rsidRPr="000C342D" w:rsidDel="00B73A72">
        <w:t xml:space="preserve"> </w:t>
      </w:r>
      <w:r w:rsidRPr="000C342D">
        <w:t>".</w:t>
      </w:r>
    </w:p>
    <w:p w:rsidR="00BB166C" w:rsidRPr="00E33E69" w:rsidRDefault="00BB166C" w:rsidP="000E01B8">
      <w:pPr>
        <w:pStyle w:val="Point0"/>
        <w:spacing w:before="0" w:line="240" w:lineRule="auto"/>
        <w:jc w:val="both"/>
        <w:rPr>
          <w:b/>
        </w:rPr>
      </w:pPr>
      <w:r w:rsidRPr="00E33E69">
        <w:rPr>
          <w:b/>
        </w:rPr>
        <w:t>10.</w:t>
      </w:r>
      <w:r w:rsidRPr="00E33E69">
        <w:rPr>
          <w:b/>
        </w:rPr>
        <w:tab/>
        <w:t>Emballage des substances parfumantes contenues dans les jeux de table olfactifs, les ensembles cosmétiques et les jouets gustatifs</w:t>
      </w:r>
    </w:p>
    <w:p w:rsidR="00BB166C" w:rsidRPr="000C342D" w:rsidRDefault="00BB166C" w:rsidP="000E01B8">
      <w:pPr>
        <w:pStyle w:val="Text1"/>
        <w:spacing w:before="0" w:line="240" w:lineRule="auto"/>
        <w:jc w:val="both"/>
      </w:pPr>
      <w:r w:rsidRPr="000C342D">
        <w:t>L'emballage des substances parfumantes contenues dans les jeux de table olfactifs, les ensembles cosmétiques et les jeux gustatifs contenant les substances parfumantes visées aux points 41 à 55 de la liste figurant au point 11, premier alinéa, de la partie III de l'annexe II et les substances parfumantes visées aux points 1 à 11 de la liste figurant au troisième alinéa de ce point comporte l'avertissement suivant</w:t>
      </w:r>
      <w:r>
        <w:t> :</w:t>
      </w:r>
    </w:p>
    <w:p w:rsidR="00BB166C" w:rsidRPr="000C342D" w:rsidRDefault="00BB166C" w:rsidP="000E01B8">
      <w:pPr>
        <w:pStyle w:val="Text1"/>
        <w:spacing w:before="0" w:line="240" w:lineRule="auto"/>
        <w:jc w:val="both"/>
      </w:pPr>
      <w:r w:rsidRPr="000C342D">
        <w:t>"</w:t>
      </w:r>
      <w:r>
        <w:t>C</w:t>
      </w:r>
      <w:r w:rsidRPr="000C342D">
        <w:t>ontient des substances parfumantes susceptibles de causer des allergies".</w:t>
      </w:r>
    </w:p>
    <w:p w:rsidR="00BB166C" w:rsidRPr="000C342D" w:rsidRDefault="00BB166C" w:rsidP="000E01B8"/>
    <w:p w:rsidR="00BB166C" w:rsidRPr="000C342D" w:rsidRDefault="00BB166C" w:rsidP="000E01B8">
      <w:pPr>
        <w:jc w:val="center"/>
        <w:rPr>
          <w:b/>
        </w:rPr>
      </w:pPr>
      <w:r w:rsidRPr="000C342D">
        <w:br w:type="page"/>
      </w:r>
      <w:r w:rsidRPr="000C342D">
        <w:rPr>
          <w:b/>
        </w:rPr>
        <w:t>Commentaire des articles</w:t>
      </w:r>
    </w:p>
    <w:p w:rsidR="00BB166C" w:rsidRPr="000C342D" w:rsidRDefault="00BB166C" w:rsidP="000E01B8">
      <w:pPr>
        <w:spacing w:before="0" w:line="240" w:lineRule="auto"/>
        <w:rPr>
          <w:b/>
        </w:rPr>
      </w:pPr>
      <w:r>
        <w:rPr>
          <w:b/>
        </w:rPr>
        <w:t xml:space="preserve">Ad. </w:t>
      </w:r>
      <w:r w:rsidRPr="000C342D">
        <w:rPr>
          <w:b/>
        </w:rPr>
        <w:t>Art.</w:t>
      </w:r>
      <w:r>
        <w:rPr>
          <w:b/>
        </w:rPr>
        <w:t xml:space="preserve"> </w:t>
      </w:r>
      <w:r w:rsidRPr="000C342D">
        <w:rPr>
          <w:b/>
        </w:rPr>
        <w:t>1</w:t>
      </w:r>
      <w:r w:rsidRPr="000C342D">
        <w:rPr>
          <w:b/>
          <w:vertAlign w:val="superscript"/>
        </w:rPr>
        <w:t>er</w:t>
      </w:r>
      <w:r w:rsidRPr="000C342D">
        <w:rPr>
          <w:b/>
        </w:rPr>
        <w:t xml:space="preserve">. - </w:t>
      </w:r>
      <w:r w:rsidRPr="000C342D">
        <w:rPr>
          <w:b/>
          <w:i/>
        </w:rPr>
        <w:t>Objet</w:t>
      </w:r>
    </w:p>
    <w:p w:rsidR="00BB166C" w:rsidRPr="00A45E27" w:rsidRDefault="00BB166C" w:rsidP="000E01B8">
      <w:pPr>
        <w:spacing w:before="0" w:after="240" w:line="240" w:lineRule="auto"/>
        <w:jc w:val="both"/>
      </w:pPr>
      <w:r>
        <w:t>L’objet du projet de loi consiste dans l’harmonisation d</w:t>
      </w:r>
      <w:r w:rsidRPr="00A45E27">
        <w:t xml:space="preserve">es niveaux de sécurité des jouets dans tous les États membres et </w:t>
      </w:r>
      <w:r>
        <w:t>dans l’élimination des</w:t>
      </w:r>
      <w:r w:rsidRPr="00A45E27">
        <w:t xml:space="preserve"> obstacles aux échanges de jouets entre les États membres.</w:t>
      </w:r>
    </w:p>
    <w:p w:rsidR="00BB166C" w:rsidRPr="000C342D" w:rsidRDefault="00BB166C" w:rsidP="000E01B8">
      <w:pPr>
        <w:spacing w:before="0" w:line="240" w:lineRule="auto"/>
        <w:rPr>
          <w:b/>
        </w:rPr>
      </w:pPr>
      <w:r>
        <w:rPr>
          <w:b/>
        </w:rPr>
        <w:t>Ad. Art. 2</w:t>
      </w:r>
      <w:r w:rsidRPr="000C342D">
        <w:rPr>
          <w:b/>
        </w:rPr>
        <w:t xml:space="preserve">. </w:t>
      </w:r>
      <w:r>
        <w:rPr>
          <w:b/>
        </w:rPr>
        <w:t>–</w:t>
      </w:r>
      <w:r w:rsidRPr="000C342D">
        <w:rPr>
          <w:b/>
        </w:rPr>
        <w:t xml:space="preserve"> </w:t>
      </w:r>
      <w:r>
        <w:rPr>
          <w:b/>
          <w:i/>
        </w:rPr>
        <w:t>Champ d’application</w:t>
      </w:r>
    </w:p>
    <w:p w:rsidR="00BB166C" w:rsidRPr="00A45E27" w:rsidRDefault="00BB166C" w:rsidP="000E01B8">
      <w:pPr>
        <w:spacing w:before="0" w:after="240" w:line="240" w:lineRule="auto"/>
        <w:jc w:val="both"/>
      </w:pPr>
      <w:r w:rsidRPr="00A45E27">
        <w:t xml:space="preserve">Afin de faciliter l'application de la présente </w:t>
      </w:r>
      <w:r>
        <w:t>loi</w:t>
      </w:r>
      <w:r w:rsidRPr="00A45E27">
        <w:t xml:space="preserve"> par les fabricants et </w:t>
      </w:r>
      <w:r>
        <w:t>l’Institut</w:t>
      </w:r>
      <w:r w:rsidRPr="00A45E27">
        <w:t xml:space="preserve">, il y a lieu de clarifier son champ d'application, en complétant la liste des produits qui ne relèvent pas de la </w:t>
      </w:r>
      <w:r>
        <w:t>présente loi</w:t>
      </w:r>
      <w:r w:rsidRPr="00A45E27">
        <w:t xml:space="preserve">, </w:t>
      </w:r>
      <w:r>
        <w:t>notamment</w:t>
      </w:r>
      <w:r w:rsidRPr="00A45E27">
        <w:t xml:space="preserve"> certains </w:t>
      </w:r>
      <w:r>
        <w:t xml:space="preserve">nouveaux </w:t>
      </w:r>
      <w:r w:rsidRPr="00A45E27">
        <w:t>produits</w:t>
      </w:r>
      <w:r>
        <w:t>,</w:t>
      </w:r>
      <w:r w:rsidRPr="00A45E27">
        <w:t xml:space="preserve"> tels que les jeux vidéo et les périphériques.</w:t>
      </w:r>
      <w:r w:rsidRPr="00856676">
        <w:t xml:space="preserve"> L’article </w:t>
      </w:r>
      <w:r>
        <w:t>2</w:t>
      </w:r>
      <w:r w:rsidRPr="00856676">
        <w:t xml:space="preserve"> constitue une reproduction littérale du texte de l’article </w:t>
      </w:r>
      <w:r>
        <w:t>2</w:t>
      </w:r>
      <w:r w:rsidRPr="00856676">
        <w:t xml:space="preserve"> de la directive</w:t>
      </w:r>
    </w:p>
    <w:p w:rsidR="00BB166C" w:rsidRPr="000C342D" w:rsidRDefault="00BB166C" w:rsidP="000E01B8">
      <w:pPr>
        <w:spacing w:before="0" w:line="240" w:lineRule="auto"/>
        <w:rPr>
          <w:b/>
        </w:rPr>
      </w:pPr>
      <w:r>
        <w:rPr>
          <w:b/>
        </w:rPr>
        <w:t xml:space="preserve">Ad. </w:t>
      </w:r>
      <w:r w:rsidRPr="000C342D">
        <w:rPr>
          <w:b/>
        </w:rPr>
        <w:t xml:space="preserve">Art. 3. - </w:t>
      </w:r>
      <w:r w:rsidRPr="000C342D">
        <w:rPr>
          <w:b/>
          <w:i/>
        </w:rPr>
        <w:t>Définitions</w:t>
      </w:r>
    </w:p>
    <w:p w:rsidR="00BB166C" w:rsidRDefault="00BB166C" w:rsidP="000E01B8">
      <w:pPr>
        <w:spacing w:before="0" w:after="240" w:line="240" w:lineRule="auto"/>
        <w:jc w:val="both"/>
      </w:pPr>
      <w:r w:rsidRPr="00986849">
        <w:t>Cet article présente les défin</w:t>
      </w:r>
      <w:r>
        <w:t xml:space="preserve">itions </w:t>
      </w:r>
      <w:r w:rsidRPr="00986849">
        <w:t>de termes dans leur signification utilisée</w:t>
      </w:r>
      <w:r>
        <w:t xml:space="preserve">. </w:t>
      </w:r>
      <w:r w:rsidRPr="00FC34B5">
        <w:t xml:space="preserve">Les définitions 1° à 29° </w:t>
      </w:r>
      <w:r w:rsidRPr="00746F69">
        <w:t>sont reprises de la directive 2009/48/CE. Le projet de loi formule certaines définitions propres au</w:t>
      </w:r>
      <w:r>
        <w:t xml:space="preserve"> secteur du jouet, afin de faciliter la compréhension et l’application uniforme du présent projet de loi. La définition 30° définit l’Institut et les définitions de 31° à 34° reprennent l’intitulé complet de la législation nationale et européenne sur laquelle est faite référence dans le présent projet de loi.</w:t>
      </w:r>
    </w:p>
    <w:p w:rsidR="00BB166C" w:rsidRPr="000C342D" w:rsidRDefault="00BB166C" w:rsidP="000E01B8">
      <w:pPr>
        <w:spacing w:before="0" w:line="240" w:lineRule="auto"/>
        <w:rPr>
          <w:b/>
        </w:rPr>
      </w:pPr>
      <w:r>
        <w:rPr>
          <w:b/>
        </w:rPr>
        <w:t>Ad. Art. 4</w:t>
      </w:r>
      <w:r w:rsidRPr="000C342D">
        <w:rPr>
          <w:b/>
        </w:rPr>
        <w:t xml:space="preserve">. </w:t>
      </w:r>
      <w:r>
        <w:rPr>
          <w:b/>
        </w:rPr>
        <w:t>–</w:t>
      </w:r>
      <w:r w:rsidRPr="000C342D">
        <w:rPr>
          <w:b/>
        </w:rPr>
        <w:t xml:space="preserve"> </w:t>
      </w:r>
      <w:r>
        <w:rPr>
          <w:b/>
          <w:i/>
        </w:rPr>
        <w:t>Obligations des fabricants</w:t>
      </w:r>
    </w:p>
    <w:p w:rsidR="00BB166C" w:rsidRPr="00A45E27" w:rsidRDefault="00BB166C" w:rsidP="000E01B8">
      <w:pPr>
        <w:spacing w:before="0" w:after="240" w:line="240" w:lineRule="auto"/>
        <w:jc w:val="both"/>
      </w:pPr>
      <w:r w:rsidRPr="00A45E27">
        <w:t xml:space="preserve">Il </w:t>
      </w:r>
      <w:r>
        <w:t>est fondamental qu'il soit clairement établi, tant pour les</w:t>
      </w:r>
      <w:r w:rsidRPr="00A45E27">
        <w:t xml:space="preserve"> fabricants </w:t>
      </w:r>
      <w:r>
        <w:t>que pour les</w:t>
      </w:r>
      <w:r w:rsidRPr="00A45E27">
        <w:t xml:space="preserve"> utilisate</w:t>
      </w:r>
      <w:r>
        <w:t>urs, qu'en apposant le marquage "</w:t>
      </w:r>
      <w:r w:rsidRPr="00A45E27">
        <w:t>CE</w:t>
      </w:r>
      <w:r>
        <w:t>"</w:t>
      </w:r>
      <w:r w:rsidRPr="00A45E27">
        <w:t xml:space="preserve"> sur un jouet, le fabricant déclare que celui-ci est conforme à toutes les exigences applicables et qu'il en assume l'entière responsabilité.</w:t>
      </w:r>
      <w:r>
        <w:t xml:space="preserve"> L’échange d’informations entre le fabricant et les autorités de surveillance du marché est rendu obligatoire.</w:t>
      </w:r>
    </w:p>
    <w:p w:rsidR="00BB166C" w:rsidRPr="000C342D" w:rsidRDefault="00BB166C" w:rsidP="000E01B8">
      <w:pPr>
        <w:spacing w:before="0" w:line="240" w:lineRule="auto"/>
        <w:rPr>
          <w:b/>
        </w:rPr>
      </w:pPr>
      <w:r>
        <w:rPr>
          <w:b/>
        </w:rPr>
        <w:t>Ad. Art. 5</w:t>
      </w:r>
      <w:r w:rsidRPr="000C342D">
        <w:rPr>
          <w:b/>
        </w:rPr>
        <w:t xml:space="preserve">. </w:t>
      </w:r>
      <w:r>
        <w:rPr>
          <w:b/>
        </w:rPr>
        <w:t>–</w:t>
      </w:r>
      <w:r w:rsidRPr="000C342D">
        <w:rPr>
          <w:b/>
        </w:rPr>
        <w:t xml:space="preserve"> </w:t>
      </w:r>
      <w:r>
        <w:rPr>
          <w:b/>
          <w:i/>
        </w:rPr>
        <w:t>Mandataires</w:t>
      </w:r>
    </w:p>
    <w:p w:rsidR="00BB166C" w:rsidRDefault="00BB166C" w:rsidP="000E01B8">
      <w:pPr>
        <w:spacing w:before="0" w:after="240" w:line="240" w:lineRule="auto"/>
        <w:jc w:val="both"/>
      </w:pPr>
      <w:r>
        <w:t>Cet article détermine les obligations qui incombent au mandataire. La conformité du jouet et les exigences de sécurité particulières restent dans la responsabilité du fabricant.</w:t>
      </w:r>
    </w:p>
    <w:p w:rsidR="00BB166C" w:rsidRPr="000C342D" w:rsidRDefault="00BB166C" w:rsidP="000E01B8">
      <w:pPr>
        <w:spacing w:before="0" w:line="240" w:lineRule="auto"/>
        <w:rPr>
          <w:b/>
        </w:rPr>
      </w:pPr>
      <w:r>
        <w:rPr>
          <w:b/>
        </w:rPr>
        <w:t>Ad. Art. 6</w:t>
      </w:r>
      <w:r w:rsidRPr="000C342D">
        <w:rPr>
          <w:b/>
        </w:rPr>
        <w:t xml:space="preserve">. </w:t>
      </w:r>
      <w:r>
        <w:rPr>
          <w:b/>
        </w:rPr>
        <w:t>–</w:t>
      </w:r>
      <w:r w:rsidRPr="000C342D">
        <w:rPr>
          <w:b/>
        </w:rPr>
        <w:t xml:space="preserve"> </w:t>
      </w:r>
      <w:r>
        <w:rPr>
          <w:b/>
          <w:i/>
        </w:rPr>
        <w:t>Obligations des importateurs</w:t>
      </w:r>
    </w:p>
    <w:p w:rsidR="00BB166C" w:rsidRPr="00E616B4" w:rsidRDefault="00BB166C" w:rsidP="000E01B8">
      <w:pPr>
        <w:spacing w:before="0" w:after="240" w:line="240" w:lineRule="auto"/>
        <w:jc w:val="both"/>
      </w:pPr>
      <w:r w:rsidRPr="00E616B4">
        <w:t>Il est nécessaire de veiller à ce que les jouets originaires de pays tiers qui entrent sur le marché communautaire soient conformes à toutes les exigences communautaires applicables et</w:t>
      </w:r>
      <w:r>
        <w:t>,</w:t>
      </w:r>
      <w:r w:rsidRPr="00E616B4">
        <w:t xml:space="preserve"> </w:t>
      </w:r>
      <w:r>
        <w:t>notamment,</w:t>
      </w:r>
      <w:r w:rsidRPr="00E616B4">
        <w:t xml:space="preserve"> à ce que les fabricants aient effectué les procédures d'évaluation appropriées pour ces jouets. Il convient</w:t>
      </w:r>
      <w:r>
        <w:t>,</w:t>
      </w:r>
      <w:r w:rsidRPr="00E616B4">
        <w:t xml:space="preserve"> dès lors</w:t>
      </w:r>
      <w:r>
        <w:t>,</w:t>
      </w:r>
      <w:r w:rsidRPr="00E616B4">
        <w:t xml:space="preserve"> de prendre des </w:t>
      </w:r>
      <w:r>
        <w:t>mesures</w:t>
      </w:r>
      <w:r w:rsidRPr="00E616B4">
        <w:t xml:space="preserve"> pour que les importateurs veillent à ce que les jouets qu'ils mettent sur le marché soient conformes aux exigences applicables et à ce qu'ils ne mettent pas sur le marché des jouets qui ne sont pas conformes à de telles exigences ou qui présentent un risque. </w:t>
      </w:r>
      <w:r>
        <w:t>De</w:t>
      </w:r>
      <w:r w:rsidRPr="00E616B4">
        <w:t xml:space="preserve"> même, il convient également de prendre des </w:t>
      </w:r>
      <w:r>
        <w:t>mesures</w:t>
      </w:r>
      <w:r w:rsidRPr="00E616B4">
        <w:t xml:space="preserve"> pour que les importateurs veillent à ce que les procédures d'évaluation de conformité aient été menées à bien et à ce que le marquage et les documents établis par les fabricants </w:t>
      </w:r>
      <w:r>
        <w:t>soient</w:t>
      </w:r>
      <w:r w:rsidRPr="00E616B4">
        <w:t xml:space="preserve"> à la disposition </w:t>
      </w:r>
      <w:r>
        <w:t>aux fins d'un contrôle par les autorités de </w:t>
      </w:r>
      <w:r w:rsidRPr="00E616B4">
        <w:t>surveillance.</w:t>
      </w:r>
    </w:p>
    <w:p w:rsidR="00BB166C" w:rsidRPr="000C342D" w:rsidRDefault="00BB166C" w:rsidP="000E01B8">
      <w:pPr>
        <w:spacing w:before="0" w:line="240" w:lineRule="auto"/>
        <w:rPr>
          <w:b/>
        </w:rPr>
      </w:pPr>
      <w:r>
        <w:rPr>
          <w:b/>
        </w:rPr>
        <w:t xml:space="preserve">Ad. </w:t>
      </w:r>
      <w:r w:rsidRPr="000C342D">
        <w:rPr>
          <w:b/>
        </w:rPr>
        <w:t xml:space="preserve">Art. 7. - </w:t>
      </w:r>
      <w:r w:rsidRPr="000C342D">
        <w:rPr>
          <w:b/>
          <w:i/>
        </w:rPr>
        <w:t>Obligations des distributeurs</w:t>
      </w:r>
    </w:p>
    <w:p w:rsidR="00BB166C" w:rsidRDefault="00BB166C" w:rsidP="000E01B8">
      <w:pPr>
        <w:spacing w:before="0" w:line="240" w:lineRule="auto"/>
        <w:jc w:val="both"/>
      </w:pPr>
      <w:r w:rsidRPr="00E616B4">
        <w:t xml:space="preserve">Tant les importateurs que les distributeurs sont censés agir avec </w:t>
      </w:r>
      <w:r>
        <w:t xml:space="preserve">la </w:t>
      </w:r>
      <w:r w:rsidRPr="00E616B4">
        <w:t>diligence</w:t>
      </w:r>
      <w:r>
        <w:t xml:space="preserve"> requise</w:t>
      </w:r>
      <w:r w:rsidRPr="00E616B4">
        <w:t xml:space="preserve"> par rapport aux exigences applicables</w:t>
      </w:r>
      <w:r>
        <w:t>,</w:t>
      </w:r>
      <w:r w:rsidRPr="00E616B4">
        <w:t xml:space="preserve"> lorsqu'ils commercialisent des jouets ou les mettent à disposition sur le marché</w:t>
      </w:r>
    </w:p>
    <w:p w:rsidR="00BB166C" w:rsidRDefault="00BB166C" w:rsidP="000E01B8">
      <w:pPr>
        <w:spacing w:before="0" w:after="240" w:line="240" w:lineRule="auto"/>
        <w:jc w:val="both"/>
      </w:pPr>
      <w:r w:rsidRPr="00A45E27">
        <w:t xml:space="preserve">Du fait de leur proximité avec le marché, les distributeurs </w:t>
      </w:r>
      <w:r>
        <w:t>seront</w:t>
      </w:r>
      <w:r w:rsidRPr="00A45E27">
        <w:t xml:space="preserve"> associés</w:t>
      </w:r>
      <w:r>
        <w:t>, par l’Institut,</w:t>
      </w:r>
      <w:r w:rsidRPr="00A45E27">
        <w:t xml:space="preserve"> aux tâches de surveillance du marché</w:t>
      </w:r>
      <w:r>
        <w:t>.</w:t>
      </w:r>
    </w:p>
    <w:p w:rsidR="00BB166C" w:rsidRPr="000C342D" w:rsidRDefault="00BB166C" w:rsidP="000E01B8">
      <w:pPr>
        <w:spacing w:before="0" w:line="240" w:lineRule="auto"/>
        <w:rPr>
          <w:b/>
        </w:rPr>
      </w:pPr>
      <w:r>
        <w:rPr>
          <w:b/>
        </w:rPr>
        <w:t xml:space="preserve">Ad. </w:t>
      </w:r>
      <w:r w:rsidRPr="000C342D">
        <w:rPr>
          <w:b/>
        </w:rPr>
        <w:t xml:space="preserve">Art. 8. - </w:t>
      </w:r>
      <w:r w:rsidRPr="000C342D">
        <w:rPr>
          <w:b/>
          <w:i/>
        </w:rPr>
        <w:t>Cas dans lesquels les obligations des fabricants s'appliquent aux importateurs et aux distributeurs</w:t>
      </w:r>
    </w:p>
    <w:p w:rsidR="00BB166C" w:rsidRDefault="00BB166C" w:rsidP="000E01B8">
      <w:pPr>
        <w:spacing w:before="0" w:after="240" w:line="240" w:lineRule="auto"/>
        <w:jc w:val="both"/>
      </w:pPr>
      <w:r w:rsidRPr="00E616B4">
        <w:t xml:space="preserve">Tout opérateur économique qui </w:t>
      </w:r>
      <w:r w:rsidRPr="00A45E27">
        <w:t>met un jouet sur le marché sous son nom ou sa marque propre</w:t>
      </w:r>
      <w:r>
        <w:t>,</w:t>
      </w:r>
      <w:r w:rsidRPr="00A45E27">
        <w:t xml:space="preserve"> ou </w:t>
      </w:r>
      <w:r>
        <w:t xml:space="preserve">qui </w:t>
      </w:r>
      <w:r w:rsidRPr="00A45E27">
        <w:t xml:space="preserve">modifie un jouet de telle manière que sa conformité aux exigences applicables </w:t>
      </w:r>
      <w:r>
        <w:t xml:space="preserve">peut </w:t>
      </w:r>
      <w:r w:rsidRPr="00A45E27">
        <w:t>en être affectée,</w:t>
      </w:r>
      <w:r w:rsidRPr="008F2A8F">
        <w:t xml:space="preserve"> </w:t>
      </w:r>
      <w:r>
        <w:t xml:space="preserve">est </w:t>
      </w:r>
      <w:r w:rsidRPr="00A45E27">
        <w:t xml:space="preserve">considéré comme le fabricant </w:t>
      </w:r>
      <w:r w:rsidRPr="00E616B4">
        <w:t xml:space="preserve">et </w:t>
      </w:r>
      <w:r>
        <w:t>doit</w:t>
      </w:r>
      <w:r w:rsidRPr="00E616B4">
        <w:t xml:space="preserve"> assumer ses obligations en tant que tel</w:t>
      </w:r>
      <w:r w:rsidRPr="00A45E27">
        <w:t>.</w:t>
      </w:r>
    </w:p>
    <w:p w:rsidR="00BB166C" w:rsidRPr="000C342D" w:rsidRDefault="00BB166C" w:rsidP="000E01B8">
      <w:pPr>
        <w:spacing w:before="0" w:line="240" w:lineRule="auto"/>
        <w:rPr>
          <w:b/>
        </w:rPr>
      </w:pPr>
      <w:r>
        <w:rPr>
          <w:b/>
        </w:rPr>
        <w:t xml:space="preserve">Ad. </w:t>
      </w:r>
      <w:r w:rsidRPr="000C342D">
        <w:rPr>
          <w:b/>
        </w:rPr>
        <w:t xml:space="preserve">Art. 9. - </w:t>
      </w:r>
      <w:r w:rsidRPr="000C342D">
        <w:rPr>
          <w:b/>
          <w:i/>
        </w:rPr>
        <w:t>Identification des opérateurs économiques</w:t>
      </w:r>
    </w:p>
    <w:p w:rsidR="00BB166C" w:rsidRDefault="00BB166C" w:rsidP="000E01B8">
      <w:pPr>
        <w:spacing w:before="0" w:after="240" w:line="240" w:lineRule="auto"/>
        <w:jc w:val="both"/>
      </w:pPr>
      <w:r>
        <w:t>Cet article garantit la traçabilité des opérateurs économiques sur un minimum de 10 ans.</w:t>
      </w:r>
    </w:p>
    <w:p w:rsidR="00BB166C" w:rsidRPr="000C342D" w:rsidRDefault="00BB166C" w:rsidP="000E01B8">
      <w:pPr>
        <w:spacing w:before="0" w:line="240" w:lineRule="auto"/>
        <w:rPr>
          <w:b/>
        </w:rPr>
      </w:pPr>
      <w:r>
        <w:rPr>
          <w:b/>
        </w:rPr>
        <w:t xml:space="preserve">Ad. </w:t>
      </w:r>
      <w:r w:rsidRPr="000C342D">
        <w:rPr>
          <w:b/>
        </w:rPr>
        <w:t xml:space="preserve">Art. 10. - </w:t>
      </w:r>
      <w:r w:rsidRPr="000C342D">
        <w:rPr>
          <w:b/>
          <w:i/>
        </w:rPr>
        <w:t>Exigences essentielles de sécurité</w:t>
      </w:r>
    </w:p>
    <w:p w:rsidR="00BB166C" w:rsidRPr="00A45E27" w:rsidRDefault="00BB166C" w:rsidP="000E01B8">
      <w:pPr>
        <w:spacing w:before="0" w:after="240" w:line="240" w:lineRule="auto"/>
        <w:jc w:val="both"/>
      </w:pPr>
      <w:r w:rsidRPr="008A383C">
        <w:t>Certaines exigences essentielles de sécurité prévues par la directive 88/378/CEE sont actualisées</w:t>
      </w:r>
      <w:r w:rsidRPr="00A45E27">
        <w:t xml:space="preserve"> afin de tenir compte de l'évolution technologique depuis l'adoption de celle-ci </w:t>
      </w:r>
      <w:r>
        <w:t>Afin d'</w:t>
      </w:r>
      <w:r w:rsidRPr="00E616B4">
        <w:t xml:space="preserve">assurer un niveau élevé de protection des enfants contre les risques causés par les substances chimiques présentes dans les jouets, l'utilisation de substances dangereuses, </w:t>
      </w:r>
      <w:r>
        <w:t>notamment</w:t>
      </w:r>
      <w:r w:rsidRPr="00E616B4">
        <w:t xml:space="preserve"> de substances cancérogènes, mutagènes ou toxiques pour la reproduction (CMR)</w:t>
      </w:r>
      <w:r>
        <w:t>,</w:t>
      </w:r>
      <w:r w:rsidRPr="00E616B4">
        <w:t xml:space="preserve"> et de substances allergènes</w:t>
      </w:r>
      <w:r>
        <w:t>,</w:t>
      </w:r>
      <w:r w:rsidRPr="00E616B4">
        <w:t xml:space="preserve"> ainsi que de certains métaux, </w:t>
      </w:r>
      <w:r>
        <w:t>font</w:t>
      </w:r>
      <w:r w:rsidRPr="00E616B4">
        <w:t xml:space="preserve"> l'objet d'une attention particulière. </w:t>
      </w:r>
      <w:r>
        <w:t>Il est donc, notamment, nécessaire de compléter et d'actualiser</w:t>
      </w:r>
      <w:r w:rsidRPr="00A45E27">
        <w:t xml:space="preserve"> les dispositions relatives aux substances chimiques présentes </w:t>
      </w:r>
      <w:r w:rsidRPr="008A383C">
        <w:t>dans les jouets. Ces dispositions spécifient que les jouets ont à respecter la législation générale relative aux substances chimiques, notamment le 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Il est, toutefois, nécessaire d'adapter ces dispositions aux besoins spécifiques des enfants, qui forment un groupe de</w:t>
      </w:r>
      <w:r w:rsidRPr="00A45E27">
        <w:t xml:space="preserve"> consommateurs particulièrement vulnérables. De nouvelles restrictions </w:t>
      </w:r>
      <w:r>
        <w:t>sont</w:t>
      </w:r>
      <w:r w:rsidRPr="00A45E27">
        <w:t xml:space="preserve"> par conséquent établies en ce qui concerne</w:t>
      </w:r>
      <w:r w:rsidRPr="00035B71">
        <w:t xml:space="preserve"> les </w:t>
      </w:r>
      <w:r w:rsidRPr="00A45E27">
        <w:t>substances classées</w:t>
      </w:r>
      <w:r>
        <w:t xml:space="preserve"> </w:t>
      </w:r>
      <w:r w:rsidRPr="00A45E27">
        <w:t xml:space="preserve">CMR conformément </w:t>
      </w:r>
      <w:r w:rsidRPr="00E616B4">
        <w:t>à la législation communautaire applicable relative</w:t>
      </w:r>
      <w:r w:rsidRPr="00035B71">
        <w:t xml:space="preserve"> </w:t>
      </w:r>
      <w:r w:rsidRPr="00A45E27">
        <w:t xml:space="preserve">à la classification, l'étiquetage </w:t>
      </w:r>
      <w:r w:rsidRPr="00E616B4">
        <w:t>et l'emballage</w:t>
      </w:r>
      <w:r w:rsidRPr="00A45E27">
        <w:t xml:space="preserve"> des substances </w:t>
      </w:r>
      <w:r w:rsidRPr="00E616B4">
        <w:t>et des mélanges</w:t>
      </w:r>
      <w:r>
        <w:t>,</w:t>
      </w:r>
      <w:r w:rsidRPr="00E616B4">
        <w:t xml:space="preserve"> </w:t>
      </w:r>
      <w:r>
        <w:t xml:space="preserve">et à la législation communautaire applicable relative </w:t>
      </w:r>
      <w:r w:rsidRPr="00E616B4">
        <w:t xml:space="preserve">aux substances parfumantes présentes dans les jouets, </w:t>
      </w:r>
      <w:r w:rsidRPr="00A45E27">
        <w:t>compte tenu des risques particuliers que ces substances peuvent présenter pour la santé humaine.</w:t>
      </w:r>
      <w:r w:rsidRPr="00E616B4">
        <w:t xml:space="preserve"> Il est établi que le nickel présent dans l'acier inoxydable est sûr. Il convient</w:t>
      </w:r>
      <w:r>
        <w:t>,</w:t>
      </w:r>
      <w:r w:rsidRPr="00E616B4">
        <w:t xml:space="preserve"> dès lors</w:t>
      </w:r>
      <w:r>
        <w:t>,</w:t>
      </w:r>
      <w:r w:rsidRPr="00E616B4">
        <w:t xml:space="preserve"> de prévoir que cette substance peut être utilisée dans les jouets.</w:t>
      </w:r>
    </w:p>
    <w:p w:rsidR="00BB166C" w:rsidRPr="00383475" w:rsidRDefault="00BB166C" w:rsidP="000E01B8">
      <w:pPr>
        <w:spacing w:before="0" w:line="240" w:lineRule="auto"/>
        <w:jc w:val="both"/>
        <w:rPr>
          <w:b/>
        </w:rPr>
      </w:pPr>
      <w:r>
        <w:rPr>
          <w:b/>
        </w:rPr>
        <w:t xml:space="preserve">Ad. </w:t>
      </w:r>
      <w:r w:rsidRPr="00383475">
        <w:rPr>
          <w:b/>
        </w:rPr>
        <w:t xml:space="preserve">Art. 11. - </w:t>
      </w:r>
      <w:r w:rsidRPr="00383475">
        <w:rPr>
          <w:b/>
          <w:i/>
        </w:rPr>
        <w:t>Avertissements</w:t>
      </w:r>
    </w:p>
    <w:p w:rsidR="00BB166C" w:rsidRDefault="00BB166C" w:rsidP="000E01B8">
      <w:pPr>
        <w:spacing w:before="0" w:after="240" w:line="240" w:lineRule="auto"/>
        <w:jc w:val="both"/>
      </w:pPr>
      <w:r w:rsidRPr="00A45E27">
        <w:t xml:space="preserve">Pour renforcer </w:t>
      </w:r>
      <w:r>
        <w:t>davantage</w:t>
      </w:r>
      <w:r w:rsidRPr="00A45E27">
        <w:t xml:space="preserve"> la sécurité des conditions d'utilisation des jouets, il convient de compléter les dispositions relatives aux avertissements qui </w:t>
      </w:r>
      <w:r w:rsidRPr="00E616B4">
        <w:t>d</w:t>
      </w:r>
      <w:r>
        <w:t>oivent</w:t>
      </w:r>
      <w:r w:rsidRPr="00A45E27">
        <w:t xml:space="preserve"> accompagner les jouets. </w:t>
      </w:r>
      <w:r w:rsidRPr="00E616B4">
        <w:t>Afin d'éviter que les avertissements ne soient utilisés abusivement pour contourner les prescriptions de sécurité applicables, ce qui s'est produit notamment dans le cas de l'avertissement signalant qu'un jouet n'était pas des</w:t>
      </w:r>
      <w:r>
        <w:t xml:space="preserve">tiné à un enfant de moins de 36 </w:t>
      </w:r>
      <w:r w:rsidRPr="00E616B4">
        <w:t>mois, il y a lieu de préciser explicitement que les avertissements prévus pour certaines catégories de jouets ne peuvent être utilisés s'ils sont en contradiction avec l'utilisation à laquelle le jouet est destiné</w:t>
      </w:r>
    </w:p>
    <w:p w:rsidR="00BB166C" w:rsidRPr="000C342D" w:rsidRDefault="00BB166C" w:rsidP="000E01B8">
      <w:pPr>
        <w:spacing w:before="0" w:line="240" w:lineRule="auto"/>
        <w:rPr>
          <w:b/>
        </w:rPr>
      </w:pPr>
      <w:r>
        <w:rPr>
          <w:b/>
        </w:rPr>
        <w:t xml:space="preserve">Ad. </w:t>
      </w:r>
      <w:r w:rsidRPr="000C342D">
        <w:rPr>
          <w:b/>
        </w:rPr>
        <w:t xml:space="preserve">Art. 12. - </w:t>
      </w:r>
      <w:r w:rsidRPr="000C342D">
        <w:rPr>
          <w:b/>
          <w:i/>
        </w:rPr>
        <w:t>Libre circulation</w:t>
      </w:r>
    </w:p>
    <w:p w:rsidR="00BB166C" w:rsidRPr="000C342D" w:rsidRDefault="00BB166C" w:rsidP="000E01B8">
      <w:pPr>
        <w:spacing w:before="0" w:after="240" w:line="240" w:lineRule="auto"/>
        <w:jc w:val="both"/>
      </w:pPr>
      <w:r w:rsidRPr="00A45E27">
        <w:t xml:space="preserve">La </w:t>
      </w:r>
      <w:r>
        <w:t>loi</w:t>
      </w:r>
      <w:r w:rsidRPr="00A45E27">
        <w:t xml:space="preserve"> </w:t>
      </w:r>
      <w:r>
        <w:t>harmonise</w:t>
      </w:r>
      <w:r w:rsidRPr="00A45E27">
        <w:t xml:space="preserve"> les niveaux de sécurité des jouets dans tous les États membres et élimine les obstacles aux échanges de jouets entre les États membres</w:t>
      </w:r>
    </w:p>
    <w:p w:rsidR="00BB166C" w:rsidRPr="000C342D" w:rsidRDefault="00BB166C" w:rsidP="000E01B8">
      <w:pPr>
        <w:spacing w:before="0" w:line="240" w:lineRule="auto"/>
        <w:rPr>
          <w:b/>
        </w:rPr>
      </w:pPr>
      <w:r>
        <w:rPr>
          <w:b/>
        </w:rPr>
        <w:t xml:space="preserve">Ad. </w:t>
      </w:r>
      <w:r w:rsidRPr="000C342D">
        <w:rPr>
          <w:b/>
        </w:rPr>
        <w:t xml:space="preserve">Art. 13. - </w:t>
      </w:r>
      <w:r w:rsidRPr="000C342D">
        <w:rPr>
          <w:b/>
          <w:i/>
        </w:rPr>
        <w:t>Présomption de conformité</w:t>
      </w:r>
    </w:p>
    <w:p w:rsidR="00BB166C" w:rsidRDefault="00BB166C" w:rsidP="000E01B8">
      <w:pPr>
        <w:spacing w:before="0" w:after="240" w:line="240" w:lineRule="auto"/>
        <w:jc w:val="both"/>
      </w:pPr>
      <w:r>
        <w:t>Les jouets fabriqués sur base des normes harmonisées sont présumés conformes aux exigences de la présente loi, ce qui ne veut pas dire que l’utilisation de ces normes soit obligatoire. Si le fabricant décide de se référer à d’autres normes il doit pouvoir démontrer que le jouet est effectivement conforme à la présente loi.</w:t>
      </w:r>
    </w:p>
    <w:p w:rsidR="00BB166C" w:rsidRPr="00E117A7" w:rsidRDefault="00BB166C" w:rsidP="000E01B8">
      <w:pPr>
        <w:spacing w:before="0" w:line="240" w:lineRule="auto"/>
        <w:rPr>
          <w:b/>
        </w:rPr>
      </w:pPr>
      <w:r>
        <w:rPr>
          <w:b/>
        </w:rPr>
        <w:t xml:space="preserve">Ad. </w:t>
      </w:r>
      <w:r w:rsidRPr="00E117A7">
        <w:rPr>
          <w:b/>
        </w:rPr>
        <w:t xml:space="preserve">Art. 14. - </w:t>
      </w:r>
      <w:r w:rsidRPr="00E117A7">
        <w:rPr>
          <w:b/>
          <w:i/>
        </w:rPr>
        <w:t>Déclaration « CE » de conformité</w:t>
      </w:r>
    </w:p>
    <w:p w:rsidR="00BB166C" w:rsidRPr="000C342D" w:rsidRDefault="00BB166C" w:rsidP="000E01B8">
      <w:pPr>
        <w:spacing w:before="0" w:after="240" w:line="240" w:lineRule="auto"/>
        <w:jc w:val="both"/>
      </w:pPr>
      <w:r>
        <w:t xml:space="preserve">Avec la déclaration de conformité </w:t>
      </w:r>
      <w:r w:rsidRPr="000C342D">
        <w:t>le fabricant assume la responsabilité de la conformité du jouet.</w:t>
      </w:r>
      <w:r>
        <w:t xml:space="preserve"> Elle doit être jointe au jouet.</w:t>
      </w:r>
    </w:p>
    <w:p w:rsidR="00BB166C" w:rsidRPr="00954137" w:rsidRDefault="00BB166C" w:rsidP="000E01B8">
      <w:pPr>
        <w:spacing w:before="0" w:line="240" w:lineRule="auto"/>
        <w:rPr>
          <w:b/>
        </w:rPr>
      </w:pPr>
      <w:r>
        <w:rPr>
          <w:b/>
        </w:rPr>
        <w:t>Ad. Art. 15</w:t>
      </w:r>
      <w:r w:rsidRPr="00954137">
        <w:rPr>
          <w:b/>
        </w:rPr>
        <w:t xml:space="preserve">. - </w:t>
      </w:r>
      <w:r w:rsidRPr="00954137">
        <w:rPr>
          <w:b/>
          <w:i/>
        </w:rPr>
        <w:t>Principes généraux du marquage « CE </w:t>
      </w:r>
    </w:p>
    <w:p w:rsidR="00BB166C" w:rsidRPr="000C342D" w:rsidRDefault="00BB166C" w:rsidP="000E01B8">
      <w:pPr>
        <w:spacing w:before="0" w:after="240" w:line="240" w:lineRule="auto"/>
        <w:jc w:val="both"/>
      </w:pPr>
      <w:r w:rsidRPr="00A45E27">
        <w:t xml:space="preserve">Le marquage </w:t>
      </w:r>
      <w:r>
        <w:t>"</w:t>
      </w:r>
      <w:r w:rsidRPr="00A45E27">
        <w:t>CE</w:t>
      </w:r>
      <w:r>
        <w:t>"</w:t>
      </w:r>
      <w:r w:rsidRPr="00A45E27">
        <w:t xml:space="preserve">, qui </w:t>
      </w:r>
      <w:r w:rsidRPr="00E616B4">
        <w:t xml:space="preserve">indique </w:t>
      </w:r>
      <w:r w:rsidRPr="00A45E27">
        <w:t>la conformité d'un jouet, est le résultat visible de tout un processus englobant l'évaluation de conformité au sens large</w:t>
      </w:r>
      <w:r>
        <w:t xml:space="preserve"> Sans le marquage « CE » les jouets ne peuvent pas être mis à disposition du marché.</w:t>
      </w:r>
    </w:p>
    <w:p w:rsidR="00BB166C" w:rsidRPr="00B00E26" w:rsidRDefault="00BB166C" w:rsidP="000E01B8">
      <w:pPr>
        <w:spacing w:before="0" w:line="240" w:lineRule="auto"/>
        <w:rPr>
          <w:b/>
        </w:rPr>
      </w:pPr>
      <w:r>
        <w:rPr>
          <w:b/>
        </w:rPr>
        <w:t>Ad. Art. 16</w:t>
      </w:r>
      <w:r w:rsidRPr="00B00E26">
        <w:rPr>
          <w:b/>
        </w:rPr>
        <w:t xml:space="preserve">. - </w:t>
      </w:r>
      <w:r w:rsidRPr="00B00E26">
        <w:rPr>
          <w:b/>
          <w:i/>
        </w:rPr>
        <w:t>Règles et conditions d'apposition du marquage « CE »</w:t>
      </w:r>
    </w:p>
    <w:p w:rsidR="00BB166C" w:rsidRPr="00A45E27" w:rsidRDefault="00BB166C" w:rsidP="000E01B8">
      <w:pPr>
        <w:spacing w:before="0" w:after="240" w:line="240" w:lineRule="auto"/>
        <w:jc w:val="both"/>
      </w:pPr>
      <w:r>
        <w:t xml:space="preserve">Le présent article fixe les règles relatives à l’apposition du marquage « CE » </w:t>
      </w:r>
      <w:r w:rsidRPr="00A45E27">
        <w:t xml:space="preserve">qui </w:t>
      </w:r>
      <w:r>
        <w:t>assurent</w:t>
      </w:r>
      <w:r w:rsidRPr="00A45E27">
        <w:t xml:space="preserve"> une visibilité suffisante à ce marquage, de manière à faciliter la surveillance du marché pour les jouets.</w:t>
      </w:r>
    </w:p>
    <w:p w:rsidR="00BB166C" w:rsidRPr="00B01713" w:rsidRDefault="00BB166C" w:rsidP="000E01B8">
      <w:pPr>
        <w:spacing w:before="0" w:line="240" w:lineRule="auto"/>
        <w:rPr>
          <w:b/>
        </w:rPr>
      </w:pPr>
      <w:r>
        <w:rPr>
          <w:b/>
        </w:rPr>
        <w:t>Ad. Art. 17</w:t>
      </w:r>
      <w:r w:rsidRPr="00B01713">
        <w:rPr>
          <w:b/>
        </w:rPr>
        <w:t xml:space="preserve">. - </w:t>
      </w:r>
      <w:r w:rsidRPr="00B01713">
        <w:rPr>
          <w:b/>
          <w:i/>
        </w:rPr>
        <w:t>Evaluations de la sécurité</w:t>
      </w:r>
    </w:p>
    <w:p w:rsidR="00BB166C" w:rsidRPr="000C342D" w:rsidRDefault="00BB166C" w:rsidP="000E01B8">
      <w:pPr>
        <w:spacing w:before="0" w:after="240" w:line="240" w:lineRule="auto"/>
        <w:jc w:val="both"/>
      </w:pPr>
      <w:r>
        <w:t>L’article rend l’analyse des dangers pour les jouets, avant leur mise sur le marché, obligatoire pour les fabricants.</w:t>
      </w:r>
    </w:p>
    <w:p w:rsidR="00BB166C" w:rsidRPr="00B01713" w:rsidRDefault="00BB166C" w:rsidP="000E01B8">
      <w:pPr>
        <w:spacing w:before="0" w:line="240" w:lineRule="auto"/>
        <w:rPr>
          <w:b/>
        </w:rPr>
      </w:pPr>
      <w:r>
        <w:rPr>
          <w:b/>
        </w:rPr>
        <w:t>Ad. Article 18</w:t>
      </w:r>
      <w:r w:rsidRPr="00B01713">
        <w:rPr>
          <w:b/>
        </w:rPr>
        <w:t xml:space="preserve">. - </w:t>
      </w:r>
      <w:r w:rsidRPr="00B01713">
        <w:rPr>
          <w:b/>
          <w:i/>
        </w:rPr>
        <w:t>Procédures applicables d'évaluation de la conformité</w:t>
      </w:r>
    </w:p>
    <w:p w:rsidR="00BB166C" w:rsidRPr="000C342D" w:rsidRDefault="00BB166C" w:rsidP="000E01B8">
      <w:pPr>
        <w:spacing w:before="0" w:after="240" w:line="240" w:lineRule="auto"/>
        <w:jc w:val="both"/>
      </w:pPr>
      <w:r w:rsidRPr="00A45E27">
        <w:t>Le fabricant</w:t>
      </w:r>
      <w:r>
        <w:t xml:space="preserve"> est</w:t>
      </w:r>
      <w:r w:rsidRPr="00A45E27">
        <w:t xml:space="preserve">, en raison de la connaissance détaillée qu'il a de la conception et du processus de production, le mieux placé pour accomplir intégralement la procédure d'évaluation de la conformité des jouets. L'évaluation de la conformité </w:t>
      </w:r>
      <w:r>
        <w:t>incombe</w:t>
      </w:r>
      <w:r w:rsidRPr="00A45E27">
        <w:t xml:space="preserve">, par conséquent, </w:t>
      </w:r>
      <w:r>
        <w:t>seul au</w:t>
      </w:r>
      <w:r w:rsidRPr="00A45E27">
        <w:t xml:space="preserve"> fabricant.</w:t>
      </w:r>
    </w:p>
    <w:p w:rsidR="00BB166C" w:rsidRPr="003C0876" w:rsidRDefault="00BB166C" w:rsidP="000E01B8">
      <w:pPr>
        <w:spacing w:before="0" w:line="240" w:lineRule="auto"/>
        <w:rPr>
          <w:b/>
        </w:rPr>
      </w:pPr>
      <w:r>
        <w:rPr>
          <w:b/>
        </w:rPr>
        <w:t>Ad. Art. 19</w:t>
      </w:r>
      <w:r w:rsidRPr="003C0876">
        <w:rPr>
          <w:b/>
        </w:rPr>
        <w:t xml:space="preserve">. - </w:t>
      </w:r>
      <w:r w:rsidRPr="003C0876">
        <w:rPr>
          <w:b/>
          <w:i/>
        </w:rPr>
        <w:t>Examen CE de type</w:t>
      </w:r>
    </w:p>
    <w:p w:rsidR="00BB166C" w:rsidRPr="00A45E27" w:rsidRDefault="00BB166C" w:rsidP="000E01B8">
      <w:pPr>
        <w:spacing w:before="0" w:after="240" w:line="240" w:lineRule="auto"/>
        <w:jc w:val="both"/>
      </w:pPr>
      <w:r>
        <w:t>À défaut</w:t>
      </w:r>
      <w:r w:rsidRPr="00A45E27">
        <w:t xml:space="preserve"> </w:t>
      </w:r>
      <w:r>
        <w:t xml:space="preserve">de </w:t>
      </w:r>
      <w:r w:rsidRPr="00A45E27">
        <w:t xml:space="preserve">normes harmonisées, le jouet </w:t>
      </w:r>
      <w:r>
        <w:t>fait</w:t>
      </w:r>
      <w:r w:rsidRPr="00A45E27">
        <w:t xml:space="preserve"> l'objet </w:t>
      </w:r>
      <w:r>
        <w:t xml:space="preserve">d'un </w:t>
      </w:r>
      <w:r w:rsidRPr="00A45E27">
        <w:t xml:space="preserve">examen CE de type. Il </w:t>
      </w:r>
      <w:r>
        <w:t>en est</w:t>
      </w:r>
      <w:r w:rsidRPr="00A45E27">
        <w:t xml:space="preserve"> de même </w:t>
      </w:r>
      <w:r>
        <w:t>lorsqu'une ou plusieurs de</w:t>
      </w:r>
      <w:r w:rsidRPr="00A45E27">
        <w:t xml:space="preserve"> ces normes ont été publiées au </w:t>
      </w:r>
      <w:r w:rsidRPr="0032624E">
        <w:rPr>
          <w:i/>
        </w:rPr>
        <w:t>Journal officiel de l'Union européenne</w:t>
      </w:r>
      <w:r>
        <w:t>,</w:t>
      </w:r>
      <w:r w:rsidRPr="00A45E27">
        <w:t xml:space="preserve"> assorties d'une restriction, </w:t>
      </w:r>
      <w:r>
        <w:t>lorsque</w:t>
      </w:r>
      <w:r w:rsidRPr="00A45E27">
        <w:t xml:space="preserve"> le fabricant n'a pas appliqué les normes concernées ou qu'en partie. Le fabricant </w:t>
      </w:r>
      <w:r>
        <w:t>doit</w:t>
      </w:r>
      <w:r w:rsidRPr="00A45E27">
        <w:t xml:space="preserve"> soumettre un jouet à l</w:t>
      </w:r>
      <w:r>
        <w:t>'</w:t>
      </w:r>
      <w:r w:rsidRPr="00A45E27">
        <w:t>examen CE de type lorsqu</w:t>
      </w:r>
      <w:r>
        <w:t>'</w:t>
      </w:r>
      <w:r w:rsidRPr="00A45E27">
        <w:t>il considère qu</w:t>
      </w:r>
      <w:r>
        <w:t>'</w:t>
      </w:r>
      <w:r w:rsidRPr="00A45E27">
        <w:t>une vérification par un tiers est nécessaire du fait de la nature, de la conception, de la construction ou de la destination du jouet concerné.</w:t>
      </w:r>
    </w:p>
    <w:p w:rsidR="00BB166C" w:rsidRPr="00CE2B1A" w:rsidRDefault="00BB166C" w:rsidP="000E01B8">
      <w:pPr>
        <w:spacing w:before="0" w:line="240" w:lineRule="auto"/>
        <w:rPr>
          <w:b/>
        </w:rPr>
      </w:pPr>
      <w:r>
        <w:rPr>
          <w:b/>
        </w:rPr>
        <w:t xml:space="preserve">Ad. </w:t>
      </w:r>
      <w:r w:rsidRPr="00CE2B1A">
        <w:rPr>
          <w:b/>
        </w:rPr>
        <w:t xml:space="preserve">Art. 20. - </w:t>
      </w:r>
      <w:r>
        <w:rPr>
          <w:b/>
          <w:i/>
        </w:rPr>
        <w:t>Documentation technique</w:t>
      </w:r>
    </w:p>
    <w:p w:rsidR="00BB166C" w:rsidRDefault="00BB166C" w:rsidP="000E01B8">
      <w:pPr>
        <w:spacing w:before="0" w:after="240" w:line="240" w:lineRule="auto"/>
        <w:jc w:val="both"/>
      </w:pPr>
      <w:r>
        <w:t>Le présent article fixe les règles relatives à la documentation technique. La documentation technique a pour objet de fournir des informations sur la conception, la fabrication et le fonctionnement du produit.</w:t>
      </w:r>
    </w:p>
    <w:p w:rsidR="00BB166C" w:rsidRPr="00447176" w:rsidRDefault="00BB166C" w:rsidP="000E01B8">
      <w:pPr>
        <w:spacing w:before="0" w:line="240" w:lineRule="auto"/>
        <w:rPr>
          <w:b/>
        </w:rPr>
      </w:pPr>
      <w:r>
        <w:rPr>
          <w:b/>
        </w:rPr>
        <w:t>Ad. Art. 21</w:t>
      </w:r>
      <w:r w:rsidRPr="00447176">
        <w:rPr>
          <w:b/>
        </w:rPr>
        <w:t xml:space="preserve">. </w:t>
      </w:r>
      <w:r>
        <w:rPr>
          <w:b/>
        </w:rPr>
        <w:t>–</w:t>
      </w:r>
      <w:r w:rsidRPr="00447176">
        <w:rPr>
          <w:b/>
        </w:rPr>
        <w:t xml:space="preserve"> </w:t>
      </w:r>
      <w:r w:rsidRPr="00447176">
        <w:rPr>
          <w:b/>
          <w:i/>
        </w:rPr>
        <w:t>Notification</w:t>
      </w:r>
    </w:p>
    <w:p w:rsidR="00BB166C" w:rsidRPr="00A30F0B" w:rsidRDefault="00BB166C" w:rsidP="000E01B8">
      <w:pPr>
        <w:spacing w:before="0" w:after="240" w:line="240" w:lineRule="auto"/>
        <w:jc w:val="both"/>
      </w:pPr>
      <w:bookmarkStart w:id="7" w:name="OLE_LINK5"/>
      <w:bookmarkStart w:id="8" w:name="OLE_LINK6"/>
      <w:r>
        <w:t xml:space="preserve">La notification est effectuée en conformité avec les dispositions de l’article 9 de la </w:t>
      </w:r>
      <w:r w:rsidRPr="00A30F0B">
        <w:t>loi du 20 mai 2008 relative à la création d’un Institut luxembourgeois de la</w:t>
      </w:r>
      <w:r>
        <w:t xml:space="preserve"> </w:t>
      </w:r>
      <w:r w:rsidRPr="00A30F0B">
        <w:t xml:space="preserve"> norma</w:t>
      </w:r>
      <w:r>
        <w:t xml:space="preserve">lisation, de l'accréditation, </w:t>
      </w:r>
      <w:r w:rsidRPr="00A30F0B">
        <w:t>de la sécurité</w:t>
      </w:r>
      <w:r>
        <w:t xml:space="preserve"> et qualité des produits et services.</w:t>
      </w:r>
    </w:p>
    <w:bookmarkEnd w:id="7"/>
    <w:bookmarkEnd w:id="8"/>
    <w:p w:rsidR="00BB166C" w:rsidRPr="003B4871" w:rsidRDefault="00BB166C" w:rsidP="000E01B8">
      <w:pPr>
        <w:spacing w:before="0" w:line="240" w:lineRule="auto"/>
        <w:rPr>
          <w:b/>
        </w:rPr>
      </w:pPr>
      <w:r>
        <w:rPr>
          <w:b/>
        </w:rPr>
        <w:t xml:space="preserve">Ad. </w:t>
      </w:r>
      <w:r w:rsidRPr="003B4871">
        <w:rPr>
          <w:b/>
        </w:rPr>
        <w:t xml:space="preserve">Art. 22. - </w:t>
      </w:r>
      <w:r w:rsidRPr="003B4871">
        <w:rPr>
          <w:b/>
          <w:i/>
        </w:rPr>
        <w:t>Autorité notifiante</w:t>
      </w:r>
    </w:p>
    <w:p w:rsidR="00BB166C" w:rsidRPr="00A30F0B" w:rsidRDefault="00BB166C" w:rsidP="000E01B8">
      <w:pPr>
        <w:spacing w:before="0" w:after="240" w:line="240" w:lineRule="auto"/>
        <w:jc w:val="both"/>
      </w:pPr>
      <w:r>
        <w:t xml:space="preserve">L’autorité notifiante est le ministre ayant l’Economie dans ses attributions conformément à la </w:t>
      </w:r>
      <w:r w:rsidRPr="00A30F0B">
        <w:t>loi du 20 mai 2008 relative à la création d’un Institut luxembourgeois de la norma</w:t>
      </w:r>
      <w:r>
        <w:t xml:space="preserve">lisation, de l'accréditation, </w:t>
      </w:r>
      <w:r w:rsidRPr="00A30F0B">
        <w:t>de la sécurité</w:t>
      </w:r>
      <w:r>
        <w:t xml:space="preserve"> et qualité des produits et services.</w:t>
      </w:r>
    </w:p>
    <w:p w:rsidR="00BB166C" w:rsidRPr="000C342D" w:rsidRDefault="00BB166C" w:rsidP="000E01B8">
      <w:pPr>
        <w:spacing w:before="0" w:line="240" w:lineRule="auto"/>
        <w:rPr>
          <w:b/>
        </w:rPr>
      </w:pPr>
      <w:r>
        <w:rPr>
          <w:b/>
        </w:rPr>
        <w:t>Ad. Art. 23</w:t>
      </w:r>
      <w:r w:rsidRPr="000C342D">
        <w:rPr>
          <w:b/>
        </w:rPr>
        <w:t xml:space="preserve"> - </w:t>
      </w:r>
      <w:r w:rsidRPr="000C342D">
        <w:rPr>
          <w:b/>
          <w:i/>
        </w:rPr>
        <w:t xml:space="preserve">Obligation d'information </w:t>
      </w:r>
      <w:r>
        <w:rPr>
          <w:b/>
          <w:i/>
        </w:rPr>
        <w:t>de l’Institut</w:t>
      </w:r>
    </w:p>
    <w:p w:rsidR="00BB166C" w:rsidRPr="000C342D" w:rsidRDefault="00BB166C" w:rsidP="000E01B8">
      <w:pPr>
        <w:spacing w:before="0" w:after="240" w:line="240" w:lineRule="auto"/>
        <w:jc w:val="both"/>
      </w:pPr>
      <w:r>
        <w:t>Cet article rend l’échange d’informations entre l’Institut et la Commission européenne sur les règles d’évaluation de la conformité et la notification d’organismes obligatoire.</w:t>
      </w:r>
    </w:p>
    <w:p w:rsidR="00BB166C" w:rsidRPr="000C342D" w:rsidRDefault="00BB166C" w:rsidP="000E01B8">
      <w:pPr>
        <w:spacing w:before="0" w:line="240" w:lineRule="auto"/>
        <w:rPr>
          <w:b/>
        </w:rPr>
      </w:pPr>
      <w:r>
        <w:rPr>
          <w:b/>
        </w:rPr>
        <w:t>Ad. Article 24</w:t>
      </w:r>
      <w:r w:rsidRPr="000C342D">
        <w:rPr>
          <w:b/>
        </w:rPr>
        <w:t xml:space="preserve">. - </w:t>
      </w:r>
      <w:r w:rsidRPr="000C342D">
        <w:rPr>
          <w:b/>
          <w:i/>
        </w:rPr>
        <w:t>Exigences concernant les organismes notifiés</w:t>
      </w:r>
    </w:p>
    <w:p w:rsidR="00BB166C" w:rsidRDefault="00BB166C" w:rsidP="000E01B8">
      <w:pPr>
        <w:spacing w:before="0" w:after="240" w:line="240" w:lineRule="auto"/>
        <w:jc w:val="both"/>
      </w:pPr>
      <w:r>
        <w:t>Cet article fixe les exigences que doit remplir un organisme d’évaluation de la conformité. Ces exigences sont auditées lors des audits d’accréditation effectués par l’Institut. L’accréditation est obligatoire pour tout organisme notifié, conformément à l’article 9 de la loi</w:t>
      </w:r>
      <w:r w:rsidRPr="000F6F7C">
        <w:t xml:space="preserve"> </w:t>
      </w:r>
      <w:r w:rsidRPr="00A30F0B">
        <w:t>du 20 mai 2008 relative à la création d’un Institut luxembourgeois de la norma</w:t>
      </w:r>
      <w:r>
        <w:t xml:space="preserve">lisation, de l'accréditation, </w:t>
      </w:r>
      <w:r w:rsidRPr="00A30F0B">
        <w:t>de la sécurité</w:t>
      </w:r>
      <w:r>
        <w:t xml:space="preserve"> et qualité des produits et services.</w:t>
      </w:r>
    </w:p>
    <w:p w:rsidR="00BB166C" w:rsidRPr="000C342D" w:rsidRDefault="00BB166C" w:rsidP="000E01B8">
      <w:pPr>
        <w:spacing w:before="0" w:line="240" w:lineRule="auto"/>
        <w:rPr>
          <w:b/>
        </w:rPr>
      </w:pPr>
      <w:r>
        <w:rPr>
          <w:b/>
        </w:rPr>
        <w:t>Ad. Art. 25</w:t>
      </w:r>
      <w:r w:rsidRPr="000C342D">
        <w:rPr>
          <w:b/>
        </w:rPr>
        <w:t xml:space="preserve">. - </w:t>
      </w:r>
      <w:r w:rsidRPr="000C342D">
        <w:rPr>
          <w:b/>
          <w:i/>
        </w:rPr>
        <w:t>Présomption de conformité</w:t>
      </w:r>
    </w:p>
    <w:p w:rsidR="00BB166C" w:rsidRPr="000C342D" w:rsidRDefault="00BB166C" w:rsidP="000E01B8">
      <w:pPr>
        <w:spacing w:before="0" w:after="240" w:line="240" w:lineRule="auto"/>
        <w:jc w:val="both"/>
      </w:pPr>
      <w:r>
        <w:t>L’accréditation vaut présomption de conformité.</w:t>
      </w:r>
    </w:p>
    <w:p w:rsidR="00BB166C" w:rsidRPr="00407A5D" w:rsidRDefault="00BB166C" w:rsidP="000E01B8">
      <w:pPr>
        <w:spacing w:before="0" w:line="240" w:lineRule="auto"/>
        <w:rPr>
          <w:b/>
        </w:rPr>
      </w:pPr>
      <w:r>
        <w:rPr>
          <w:b/>
        </w:rPr>
        <w:t xml:space="preserve">Ad. </w:t>
      </w:r>
      <w:r w:rsidRPr="00407A5D">
        <w:rPr>
          <w:b/>
        </w:rPr>
        <w:t xml:space="preserve">Art. 26. - </w:t>
      </w:r>
      <w:r w:rsidRPr="00407A5D">
        <w:rPr>
          <w:b/>
          <w:i/>
        </w:rPr>
        <w:t>Filiales et sous-traitants des organismes notifié</w:t>
      </w:r>
      <w:r>
        <w:rPr>
          <w:b/>
          <w:i/>
        </w:rPr>
        <w:t>s</w:t>
      </w:r>
    </w:p>
    <w:p w:rsidR="00BB166C" w:rsidRPr="000C342D" w:rsidRDefault="00BB166C" w:rsidP="000E01B8">
      <w:pPr>
        <w:pStyle w:val="ManualNumPar1"/>
        <w:spacing w:before="0" w:line="240" w:lineRule="auto"/>
        <w:ind w:left="0" w:firstLine="0"/>
        <w:jc w:val="both"/>
      </w:pPr>
      <w:r>
        <w:t>Cet article fixe les règles de sous-traitance de certaines tâches spécifiques par un organisme notifié.</w:t>
      </w:r>
    </w:p>
    <w:p w:rsidR="00BB166C" w:rsidRDefault="00BB166C" w:rsidP="000E01B8">
      <w:pPr>
        <w:spacing w:before="0" w:line="240" w:lineRule="auto"/>
        <w:rPr>
          <w:b/>
          <w:i/>
        </w:rPr>
      </w:pPr>
      <w:r>
        <w:rPr>
          <w:b/>
        </w:rPr>
        <w:t xml:space="preserve">Ad. </w:t>
      </w:r>
      <w:r w:rsidRPr="001220C3">
        <w:rPr>
          <w:b/>
        </w:rPr>
        <w:t xml:space="preserve">Art. 27. - </w:t>
      </w:r>
      <w:r w:rsidRPr="001220C3">
        <w:rPr>
          <w:b/>
          <w:i/>
        </w:rPr>
        <w:t>Demande de notification</w:t>
      </w:r>
    </w:p>
    <w:p w:rsidR="00BB166C" w:rsidRPr="00391A2D" w:rsidRDefault="00BB166C" w:rsidP="000E01B8">
      <w:pPr>
        <w:spacing w:before="0" w:after="240" w:line="240" w:lineRule="auto"/>
        <w:jc w:val="both"/>
      </w:pPr>
      <w:r w:rsidRPr="00391A2D">
        <w:t>L’accréditation est obligatoire pour tout organisme d’évaluation de la conformité candidat à une notif</w:t>
      </w:r>
      <w:r>
        <w:t>ication. L’accréditation peut être délivrée par l’Office Luxembourgeois d’Accréditation et de Surveillance (OLAS) ou par un autre organisme national d’accréditation. Ceci est par exemple le cas pour le Service de métrologie légale de l’Institut qui a été accrédité par l’autorité nationale d’accréditation de Belgique, afin de démontrer son indépendance et impartialité vis-à-vis des autres départements de l’Institut, notamment l’OLAS.</w:t>
      </w:r>
    </w:p>
    <w:p w:rsidR="00BB166C" w:rsidRPr="00882975" w:rsidRDefault="00BB166C" w:rsidP="000E01B8">
      <w:pPr>
        <w:spacing w:before="0" w:line="240" w:lineRule="auto"/>
        <w:rPr>
          <w:b/>
        </w:rPr>
      </w:pPr>
      <w:r w:rsidRPr="00882975">
        <w:rPr>
          <w:b/>
        </w:rPr>
        <w:t xml:space="preserve">Art. 28. - </w:t>
      </w:r>
      <w:r w:rsidRPr="00882975">
        <w:rPr>
          <w:b/>
          <w:i/>
        </w:rPr>
        <w:t>Procédure de notification (ancien article 31)</w:t>
      </w:r>
    </w:p>
    <w:p w:rsidR="00BB166C" w:rsidRPr="00D34E80" w:rsidRDefault="00BB166C" w:rsidP="000E01B8">
      <w:pPr>
        <w:spacing w:before="0" w:after="240" w:line="240" w:lineRule="auto"/>
        <w:jc w:val="both"/>
        <w:rPr>
          <w:bCs/>
        </w:rPr>
      </w:pPr>
      <w:r w:rsidRPr="00FE0D2D">
        <w:t xml:space="preserve">Le présent article </w:t>
      </w:r>
      <w:r>
        <w:t xml:space="preserve">fixe les règles de notification des organismes d’évaluation de la conformité. L’outil de notification électronique de la Commission européenne s’appelle </w:t>
      </w:r>
      <w:r w:rsidRPr="00D34E80">
        <w:t>« </w:t>
      </w:r>
      <w:r w:rsidRPr="00D34E80">
        <w:rPr>
          <w:bCs/>
        </w:rPr>
        <w:t xml:space="preserve">Nando (New Approach Notified and </w:t>
      </w:r>
      <w:r w:rsidRPr="006A6EA1">
        <w:t>Designated</w:t>
      </w:r>
      <w:r w:rsidRPr="00D34E80">
        <w:rPr>
          <w:bCs/>
        </w:rPr>
        <w:t xml:space="preserve"> Organisations) Information System</w:t>
      </w:r>
      <w:r>
        <w:rPr>
          <w:bCs/>
        </w:rPr>
        <w:t xml:space="preserve"> » et peut être consulté à l’adresse Internet suivante : </w:t>
      </w:r>
      <w:r w:rsidRPr="00F516DA">
        <w:rPr>
          <w:bCs/>
        </w:rPr>
        <w:t>http://ec.europa.eu/enterprise/newapproach/nando/</w:t>
      </w:r>
      <w:r>
        <w:rPr>
          <w:bCs/>
        </w:rPr>
        <w:t>.</w:t>
      </w:r>
    </w:p>
    <w:p w:rsidR="00BB166C" w:rsidRPr="00C83C6F" w:rsidRDefault="00BB166C" w:rsidP="000E01B8">
      <w:pPr>
        <w:spacing w:before="0" w:line="240" w:lineRule="auto"/>
        <w:rPr>
          <w:b/>
        </w:rPr>
      </w:pPr>
      <w:r>
        <w:rPr>
          <w:b/>
        </w:rPr>
        <w:t xml:space="preserve">Ad. </w:t>
      </w:r>
      <w:r w:rsidRPr="00C83C6F">
        <w:rPr>
          <w:b/>
        </w:rPr>
        <w:t>Art. 2</w:t>
      </w:r>
      <w:r>
        <w:rPr>
          <w:b/>
        </w:rPr>
        <w:t>9</w:t>
      </w:r>
      <w:r w:rsidRPr="00C83C6F">
        <w:rPr>
          <w:b/>
        </w:rPr>
        <w:t xml:space="preserve">. - </w:t>
      </w:r>
      <w:r w:rsidRPr="00C83C6F">
        <w:rPr>
          <w:b/>
          <w:i/>
        </w:rPr>
        <w:t>Modifications apportées aux notifications</w:t>
      </w:r>
    </w:p>
    <w:p w:rsidR="00BB166C" w:rsidRDefault="00BB166C" w:rsidP="000E01B8">
      <w:pPr>
        <w:spacing w:before="0" w:after="240" w:line="240" w:lineRule="auto"/>
        <w:jc w:val="both"/>
      </w:pPr>
      <w:r>
        <w:t>Cet article fixe les règles de restriction, de suspension et de retrait d’une notification.</w:t>
      </w:r>
    </w:p>
    <w:p w:rsidR="00BB166C" w:rsidRPr="00C6012C" w:rsidRDefault="00BB166C" w:rsidP="000E01B8">
      <w:pPr>
        <w:spacing w:before="0" w:line="240" w:lineRule="auto"/>
        <w:rPr>
          <w:b/>
        </w:rPr>
      </w:pPr>
      <w:r>
        <w:rPr>
          <w:b/>
        </w:rPr>
        <w:t>Ad. Art. 30</w:t>
      </w:r>
      <w:r w:rsidRPr="00C6012C">
        <w:rPr>
          <w:b/>
        </w:rPr>
        <w:t xml:space="preserve">. - </w:t>
      </w:r>
      <w:r w:rsidRPr="00C6012C">
        <w:rPr>
          <w:b/>
          <w:i/>
        </w:rPr>
        <w:t>Contestation de la compétence des organismes notifié</w:t>
      </w:r>
      <w:r>
        <w:rPr>
          <w:b/>
          <w:i/>
        </w:rPr>
        <w:t>s</w:t>
      </w:r>
    </w:p>
    <w:p w:rsidR="00BB166C" w:rsidRPr="00A45E27" w:rsidRDefault="00BB166C" w:rsidP="000E01B8">
      <w:pPr>
        <w:spacing w:before="0" w:after="240" w:line="240" w:lineRule="auto"/>
        <w:jc w:val="both"/>
      </w:pPr>
      <w:r w:rsidRPr="00A45E27">
        <w:t xml:space="preserve">La </w:t>
      </w:r>
      <w:r>
        <w:t>Commission européenne peut faire une enquête sur un organisme notifié par le ministre</w:t>
      </w:r>
      <w:r w:rsidRPr="00A45E27">
        <w:t>.</w:t>
      </w:r>
      <w:r>
        <w:t xml:space="preserve"> L’ILNAS soutient la Commission européenne dans son enquête en lui fournissant les informations nécessaires. Le ministre décide des mesures correctives si nécessaire.</w:t>
      </w:r>
    </w:p>
    <w:p w:rsidR="00BB166C" w:rsidRPr="00402D9B" w:rsidRDefault="00BB166C" w:rsidP="000E01B8">
      <w:pPr>
        <w:spacing w:before="0" w:line="240" w:lineRule="auto"/>
        <w:rPr>
          <w:b/>
        </w:rPr>
      </w:pPr>
      <w:r>
        <w:rPr>
          <w:b/>
        </w:rPr>
        <w:t xml:space="preserve">Ad. </w:t>
      </w:r>
      <w:r w:rsidRPr="00402D9B">
        <w:rPr>
          <w:b/>
        </w:rPr>
        <w:t>Art. 3</w:t>
      </w:r>
      <w:r>
        <w:rPr>
          <w:b/>
        </w:rPr>
        <w:t>1</w:t>
      </w:r>
      <w:r w:rsidRPr="00402D9B">
        <w:rPr>
          <w:b/>
        </w:rPr>
        <w:t xml:space="preserve">. - </w:t>
      </w:r>
      <w:r w:rsidRPr="00402D9B">
        <w:rPr>
          <w:b/>
          <w:i/>
        </w:rPr>
        <w:t>Obligations opérationnelles des organismes notifiés</w:t>
      </w:r>
    </w:p>
    <w:p w:rsidR="00BB166C" w:rsidRDefault="00BB166C" w:rsidP="000E01B8">
      <w:pPr>
        <w:spacing w:before="0" w:line="240" w:lineRule="auto"/>
        <w:jc w:val="both"/>
      </w:pPr>
      <w:r>
        <w:t>Cet article fixe les obligations opérationnelles des organismes notifiés tout en protégeant les opérateurs économiques de charges inutiles.</w:t>
      </w:r>
    </w:p>
    <w:p w:rsidR="00BB166C" w:rsidRPr="00CE136F" w:rsidRDefault="00BB166C" w:rsidP="000E01B8">
      <w:pPr>
        <w:spacing w:before="0" w:line="240" w:lineRule="auto"/>
        <w:rPr>
          <w:b/>
        </w:rPr>
      </w:pPr>
      <w:r>
        <w:rPr>
          <w:b/>
        </w:rPr>
        <w:t xml:space="preserve">Ad. </w:t>
      </w:r>
      <w:r w:rsidRPr="00CE136F">
        <w:rPr>
          <w:b/>
        </w:rPr>
        <w:t>Art. 3</w:t>
      </w:r>
      <w:r>
        <w:rPr>
          <w:b/>
        </w:rPr>
        <w:t>2</w:t>
      </w:r>
      <w:r w:rsidRPr="00CE136F">
        <w:rPr>
          <w:b/>
        </w:rPr>
        <w:t xml:space="preserve"> - </w:t>
      </w:r>
      <w:r w:rsidRPr="00CE136F">
        <w:rPr>
          <w:b/>
          <w:i/>
        </w:rPr>
        <w:t>Obligation d'information des organismes notifiés</w:t>
      </w:r>
    </w:p>
    <w:p w:rsidR="00BB166C" w:rsidRDefault="00BB166C" w:rsidP="000E01B8">
      <w:pPr>
        <w:pStyle w:val="ManualNumPar1"/>
        <w:spacing w:before="0" w:line="240" w:lineRule="auto"/>
        <w:ind w:left="0" w:firstLine="0"/>
        <w:jc w:val="both"/>
      </w:pPr>
      <w:r>
        <w:t xml:space="preserve">Cet article fixe les informations qui doivent être communiquées par l’organisme notifié  à l’Institut et aux autres organismes notifiés. </w:t>
      </w:r>
    </w:p>
    <w:p w:rsidR="00BB166C" w:rsidRPr="006F543A" w:rsidRDefault="00BB166C" w:rsidP="000E01B8">
      <w:pPr>
        <w:spacing w:before="0" w:after="240" w:line="240" w:lineRule="auto"/>
        <w:jc w:val="both"/>
      </w:pPr>
      <w:r>
        <w:t xml:space="preserve">Au Luxembourg, les organismes notifiés ne sont pas obligés, comme le demande la directive, de communiquer </w:t>
      </w:r>
      <w:r w:rsidRPr="006F543A">
        <w:t>toute demande d'information reçue des autorités de surveillance du marché, qui concerne les activités d'évaluation de la conformité</w:t>
      </w:r>
      <w:r>
        <w:t>, à l’Institut, vu que l’Institut est également l’autorité de surveillance du marché des jouets.</w:t>
      </w:r>
    </w:p>
    <w:p w:rsidR="00BB166C" w:rsidRDefault="00BB166C" w:rsidP="000E01B8">
      <w:pPr>
        <w:spacing w:before="0" w:line="240" w:lineRule="auto"/>
        <w:rPr>
          <w:b/>
          <w:i/>
        </w:rPr>
      </w:pPr>
      <w:r w:rsidRPr="00ED1A14">
        <w:rPr>
          <w:b/>
        </w:rPr>
        <w:t xml:space="preserve">Ad. Art. 33. - </w:t>
      </w:r>
      <w:r w:rsidRPr="00ED1A14">
        <w:rPr>
          <w:b/>
          <w:i/>
        </w:rPr>
        <w:t>Partage d'expérience</w:t>
      </w:r>
    </w:p>
    <w:p w:rsidR="00BB166C" w:rsidRPr="00257EFE" w:rsidRDefault="00BB166C" w:rsidP="000E01B8">
      <w:pPr>
        <w:spacing w:before="0" w:after="240" w:line="240" w:lineRule="auto"/>
        <w:jc w:val="both"/>
      </w:pPr>
      <w:r>
        <w:t>Le présent article rend l</w:t>
      </w:r>
      <w:r w:rsidRPr="00257EFE">
        <w:t>’échange d’expérience entre les autorités nationale</w:t>
      </w:r>
      <w:r>
        <w:t xml:space="preserve">s de notification </w:t>
      </w:r>
      <w:r w:rsidRPr="00257EFE">
        <w:t>obligatoire.</w:t>
      </w:r>
    </w:p>
    <w:p w:rsidR="00BB166C" w:rsidRPr="00553F2F" w:rsidRDefault="00BB166C" w:rsidP="000E01B8">
      <w:pPr>
        <w:spacing w:before="0" w:line="240" w:lineRule="auto"/>
        <w:rPr>
          <w:b/>
        </w:rPr>
      </w:pPr>
      <w:r>
        <w:rPr>
          <w:b/>
        </w:rPr>
        <w:t xml:space="preserve">Ad. </w:t>
      </w:r>
      <w:r w:rsidRPr="00553F2F">
        <w:rPr>
          <w:b/>
        </w:rPr>
        <w:t>Art. 3</w:t>
      </w:r>
      <w:r>
        <w:rPr>
          <w:b/>
        </w:rPr>
        <w:t>4</w:t>
      </w:r>
      <w:r w:rsidRPr="00553F2F">
        <w:rPr>
          <w:b/>
        </w:rPr>
        <w:t xml:space="preserve">. - </w:t>
      </w:r>
      <w:r w:rsidRPr="00553F2F">
        <w:rPr>
          <w:b/>
          <w:i/>
        </w:rPr>
        <w:t>Coordination des organismes notifiés</w:t>
      </w:r>
    </w:p>
    <w:p w:rsidR="00BB166C" w:rsidRDefault="00BB166C" w:rsidP="000E01B8">
      <w:pPr>
        <w:spacing w:before="0" w:after="240" w:line="240" w:lineRule="auto"/>
        <w:jc w:val="both"/>
      </w:pPr>
      <w:r>
        <w:t>Par le présent article, l’obligation de participer aux groupes sectoriels des organismes notifiés est rendu obligatoire pour tout organisme notifié par le ministre.</w:t>
      </w:r>
    </w:p>
    <w:p w:rsidR="00BB166C" w:rsidRPr="00E50F7B" w:rsidRDefault="00BB166C" w:rsidP="000E01B8">
      <w:pPr>
        <w:spacing w:before="0" w:line="240" w:lineRule="auto"/>
        <w:rPr>
          <w:b/>
        </w:rPr>
      </w:pPr>
      <w:r>
        <w:rPr>
          <w:b/>
        </w:rPr>
        <w:t xml:space="preserve">Ad. </w:t>
      </w:r>
      <w:r w:rsidRPr="00E50F7B">
        <w:rPr>
          <w:b/>
        </w:rPr>
        <w:t>Art. 3</w:t>
      </w:r>
      <w:r>
        <w:rPr>
          <w:b/>
        </w:rPr>
        <w:t>5</w:t>
      </w:r>
      <w:r w:rsidRPr="00E50F7B">
        <w:rPr>
          <w:b/>
        </w:rPr>
        <w:t xml:space="preserve">. - </w:t>
      </w:r>
      <w:r w:rsidRPr="00E50F7B">
        <w:rPr>
          <w:b/>
          <w:i/>
        </w:rPr>
        <w:t>Principe de précaution</w:t>
      </w:r>
    </w:p>
    <w:p w:rsidR="00BB166C" w:rsidRPr="00E50F7B" w:rsidRDefault="00BB166C" w:rsidP="000E01B8">
      <w:pPr>
        <w:spacing w:before="0" w:after="240" w:line="240" w:lineRule="auto"/>
        <w:jc w:val="both"/>
      </w:pPr>
      <w:r w:rsidRPr="00E616B4">
        <w:t xml:space="preserve">Si les preuves scientifiques disponibles sont trop incertaines pour permettre une évaluation précise du risque, </w:t>
      </w:r>
      <w:r>
        <w:t>l’Institut applique, lorsqu'il prend</w:t>
      </w:r>
      <w:r w:rsidRPr="00E616B4">
        <w:t xml:space="preserve"> des mesures en vertu de la présente </w:t>
      </w:r>
      <w:r>
        <w:t>loi</w:t>
      </w:r>
      <w:r w:rsidRPr="00E616B4">
        <w:t>, le principe de précaution</w:t>
      </w:r>
      <w:r>
        <w:t>,</w:t>
      </w:r>
      <w:r w:rsidRPr="00E616B4">
        <w:t xml:space="preserve"> qui est un principe de droit communautaire énoncé</w:t>
      </w:r>
      <w:r>
        <w:t>, entre autres,</w:t>
      </w:r>
      <w:r w:rsidRPr="00E616B4">
        <w:t xml:space="preserve"> dans la </w:t>
      </w:r>
      <w:r>
        <w:t>C</w:t>
      </w:r>
      <w:r w:rsidRPr="00E616B4">
        <w:t>o</w:t>
      </w:r>
      <w:r>
        <w:t xml:space="preserve">mmunication de la Commission européenne du 2 </w:t>
      </w:r>
      <w:r w:rsidRPr="00E616B4">
        <w:t xml:space="preserve">février 2000, tout en prenant dûment en considération les autres dispositions et principes contenus dans la présente directive, </w:t>
      </w:r>
      <w:r>
        <w:t>tels que</w:t>
      </w:r>
      <w:r w:rsidRPr="00E616B4">
        <w:t xml:space="preserve"> la libre circulation des marchandises et la présomption de conformité</w:t>
      </w:r>
    </w:p>
    <w:p w:rsidR="00BB166C" w:rsidRPr="00F774D2" w:rsidRDefault="00BB166C" w:rsidP="000E01B8">
      <w:pPr>
        <w:spacing w:before="0" w:line="240" w:lineRule="auto"/>
        <w:rPr>
          <w:b/>
        </w:rPr>
      </w:pPr>
      <w:r>
        <w:rPr>
          <w:b/>
        </w:rPr>
        <w:t xml:space="preserve">Ad. </w:t>
      </w:r>
      <w:r w:rsidRPr="00F774D2">
        <w:rPr>
          <w:b/>
        </w:rPr>
        <w:t>Art. 3</w:t>
      </w:r>
      <w:r>
        <w:rPr>
          <w:b/>
        </w:rPr>
        <w:t>6</w:t>
      </w:r>
      <w:r w:rsidRPr="00F774D2">
        <w:rPr>
          <w:b/>
        </w:rPr>
        <w:t xml:space="preserve">. - </w:t>
      </w:r>
      <w:r>
        <w:rPr>
          <w:b/>
          <w:i/>
        </w:rPr>
        <w:t>Organisation de</w:t>
      </w:r>
      <w:r w:rsidRPr="00F774D2">
        <w:rPr>
          <w:b/>
          <w:i/>
        </w:rPr>
        <w:t xml:space="preserve"> la surveillance du marché</w:t>
      </w:r>
    </w:p>
    <w:p w:rsidR="00BB166C" w:rsidRPr="00EC4998" w:rsidRDefault="00BB166C" w:rsidP="000E01B8">
      <w:pPr>
        <w:spacing w:before="0" w:after="240" w:line="240" w:lineRule="auto"/>
        <w:jc w:val="both"/>
      </w:pPr>
      <w:r>
        <w:t>Cet article rend la mise en place d’un système de surveillance du marché efficace obligatoire pour l’Institut.</w:t>
      </w:r>
    </w:p>
    <w:p w:rsidR="00BB166C" w:rsidRPr="00A15C07" w:rsidRDefault="00BB166C" w:rsidP="000E01B8">
      <w:pPr>
        <w:spacing w:before="0" w:line="240" w:lineRule="auto"/>
        <w:rPr>
          <w:b/>
        </w:rPr>
      </w:pPr>
      <w:r>
        <w:rPr>
          <w:b/>
        </w:rPr>
        <w:t xml:space="preserve">Ad. </w:t>
      </w:r>
      <w:r w:rsidRPr="00A15C07">
        <w:rPr>
          <w:b/>
        </w:rPr>
        <w:t>Art. 3</w:t>
      </w:r>
      <w:r>
        <w:rPr>
          <w:b/>
        </w:rPr>
        <w:t>7</w:t>
      </w:r>
      <w:r w:rsidRPr="00A15C07">
        <w:rPr>
          <w:b/>
        </w:rPr>
        <w:t xml:space="preserve">. - </w:t>
      </w:r>
      <w:r w:rsidRPr="00A15C07">
        <w:rPr>
          <w:b/>
          <w:i/>
        </w:rPr>
        <w:t>Instructions à l'organisme notifié</w:t>
      </w:r>
    </w:p>
    <w:p w:rsidR="00BB166C" w:rsidRPr="00A15C07" w:rsidRDefault="00BB166C" w:rsidP="000E01B8">
      <w:pPr>
        <w:spacing w:before="0" w:after="240" w:line="240" w:lineRule="auto"/>
        <w:jc w:val="both"/>
      </w:pPr>
      <w:r>
        <w:t>Le présent article définit les instructions que peut donner l’Institut aux organismes notifiés.</w:t>
      </w:r>
    </w:p>
    <w:p w:rsidR="00BB166C" w:rsidRDefault="00BB166C" w:rsidP="000E01B8">
      <w:pPr>
        <w:spacing w:before="0" w:line="240" w:lineRule="auto"/>
        <w:jc w:val="both"/>
        <w:rPr>
          <w:b/>
          <w:i/>
        </w:rPr>
      </w:pPr>
      <w:r>
        <w:rPr>
          <w:b/>
        </w:rPr>
        <w:t xml:space="preserve">Ad. </w:t>
      </w:r>
      <w:r w:rsidRPr="007C4A58">
        <w:rPr>
          <w:b/>
        </w:rPr>
        <w:t>Art. 3</w:t>
      </w:r>
      <w:r>
        <w:rPr>
          <w:b/>
        </w:rPr>
        <w:t>8</w:t>
      </w:r>
      <w:r w:rsidRPr="007C4A58">
        <w:rPr>
          <w:b/>
        </w:rPr>
        <w:t xml:space="preserve">. - </w:t>
      </w:r>
      <w:r w:rsidRPr="007C4A58">
        <w:rPr>
          <w:b/>
          <w:i/>
        </w:rPr>
        <w:t>Procédure applicable aux jouets qui présentent un risque au niveau national</w:t>
      </w:r>
    </w:p>
    <w:p w:rsidR="00BB166C" w:rsidRDefault="00BB166C" w:rsidP="000E01B8">
      <w:pPr>
        <w:spacing w:before="0" w:after="240" w:line="240" w:lineRule="auto"/>
        <w:jc w:val="both"/>
      </w:pPr>
      <w:r>
        <w:t xml:space="preserve">L’article fixe les règles à suivre par l’Institut en cas de détection d’un jouet qui présente un risque grave au niveau national. </w:t>
      </w:r>
    </w:p>
    <w:p w:rsidR="00BB166C" w:rsidRPr="005A4D4C" w:rsidRDefault="00BB166C" w:rsidP="000E01B8">
      <w:pPr>
        <w:spacing w:before="0" w:line="240" w:lineRule="auto"/>
        <w:rPr>
          <w:b/>
        </w:rPr>
      </w:pPr>
      <w:r>
        <w:rPr>
          <w:b/>
        </w:rPr>
        <w:t xml:space="preserve">Ad. </w:t>
      </w:r>
      <w:r w:rsidRPr="005A4D4C">
        <w:rPr>
          <w:b/>
        </w:rPr>
        <w:t>Art. 3</w:t>
      </w:r>
      <w:r>
        <w:rPr>
          <w:b/>
        </w:rPr>
        <w:t>9</w:t>
      </w:r>
      <w:r w:rsidRPr="005A4D4C">
        <w:rPr>
          <w:b/>
        </w:rPr>
        <w:t xml:space="preserve">. - </w:t>
      </w:r>
      <w:r w:rsidRPr="005A4D4C">
        <w:rPr>
          <w:b/>
          <w:i/>
        </w:rPr>
        <w:t>Non-conformité formelle</w:t>
      </w:r>
    </w:p>
    <w:p w:rsidR="00BB166C" w:rsidRPr="00FC34B5" w:rsidRDefault="00BB166C" w:rsidP="000E01B8">
      <w:pPr>
        <w:spacing w:before="0" w:after="240" w:line="240" w:lineRule="auto"/>
        <w:jc w:val="both"/>
      </w:pPr>
      <w:r>
        <w:t>Le présent article fixe la procédure à suivre en cas de constatation, par l’Institut, de non-conformités formelles relatives au marquage CE et la documentation technique.</w:t>
      </w:r>
    </w:p>
    <w:p w:rsidR="00BB166C" w:rsidRDefault="00BB166C" w:rsidP="000E01B8">
      <w:pPr>
        <w:pStyle w:val="ManualNumPar1"/>
        <w:spacing w:before="0" w:line="240" w:lineRule="auto"/>
        <w:ind w:left="0" w:firstLine="0"/>
        <w:jc w:val="both"/>
        <w:rPr>
          <w:b/>
          <w:i/>
        </w:rPr>
      </w:pPr>
      <w:r>
        <w:rPr>
          <w:b/>
        </w:rPr>
        <w:t xml:space="preserve">Ad. Art. 40. - </w:t>
      </w:r>
      <w:r w:rsidRPr="003F5C88">
        <w:rPr>
          <w:b/>
          <w:i/>
        </w:rPr>
        <w:t>Motivation des mesures</w:t>
      </w:r>
    </w:p>
    <w:p w:rsidR="00BB166C" w:rsidRPr="00D83B45" w:rsidRDefault="00BB166C" w:rsidP="000E01B8">
      <w:pPr>
        <w:spacing w:before="0" w:after="240" w:line="240" w:lineRule="auto"/>
        <w:jc w:val="both"/>
      </w:pPr>
      <w:r>
        <w:t>Toute mesure arrêtée par l’Institut doit être motivée et notifiée à l’intéressé.</w:t>
      </w:r>
    </w:p>
    <w:p w:rsidR="00BB166C" w:rsidRPr="008F0DC0" w:rsidRDefault="00BB166C" w:rsidP="000E01B8">
      <w:pPr>
        <w:spacing w:before="0" w:line="240" w:lineRule="auto"/>
        <w:rPr>
          <w:b/>
        </w:rPr>
      </w:pPr>
      <w:r>
        <w:rPr>
          <w:b/>
        </w:rPr>
        <w:t xml:space="preserve">Ad. </w:t>
      </w:r>
      <w:r w:rsidRPr="008F0DC0">
        <w:rPr>
          <w:b/>
        </w:rPr>
        <w:t>Art. 4</w:t>
      </w:r>
      <w:r>
        <w:rPr>
          <w:b/>
        </w:rPr>
        <w:t>1</w:t>
      </w:r>
      <w:r w:rsidRPr="008F0DC0">
        <w:rPr>
          <w:b/>
        </w:rPr>
        <w:t xml:space="preserve">. - </w:t>
      </w:r>
      <w:r w:rsidRPr="008F0DC0">
        <w:rPr>
          <w:b/>
          <w:i/>
        </w:rPr>
        <w:t>Les sanctions pénales dans le cadre de la surveillance du marché</w:t>
      </w:r>
    </w:p>
    <w:p w:rsidR="00BB166C" w:rsidRPr="003F06A0" w:rsidRDefault="00BB166C" w:rsidP="000E01B8">
      <w:pPr>
        <w:spacing w:before="0" w:after="240" w:line="240" w:lineRule="auto"/>
        <w:jc w:val="both"/>
      </w:pPr>
      <w:r>
        <w:t xml:space="preserve">Les sanctions pénales ont été reprises de la loi du 20 mai 2008 relative à la création d’un </w:t>
      </w:r>
      <w:r w:rsidRPr="00BF7D73">
        <w:t>Institut luxembourgeois de la normalisation, de l’accréditation, de la sécurité et qualité des produits et services</w:t>
      </w:r>
    </w:p>
    <w:p w:rsidR="00BB166C" w:rsidRDefault="00BB166C" w:rsidP="000E01B8">
      <w:pPr>
        <w:spacing w:before="0" w:line="240" w:lineRule="auto"/>
        <w:rPr>
          <w:b/>
          <w:i/>
        </w:rPr>
      </w:pPr>
      <w:r>
        <w:rPr>
          <w:b/>
        </w:rPr>
        <w:t>Art. 42</w:t>
      </w:r>
      <w:r w:rsidRPr="00C474AF">
        <w:rPr>
          <w:b/>
        </w:rPr>
        <w:t xml:space="preserve">. - </w:t>
      </w:r>
      <w:r w:rsidRPr="00C474AF">
        <w:rPr>
          <w:b/>
          <w:i/>
        </w:rPr>
        <w:t>Les avertissements taxés</w:t>
      </w:r>
    </w:p>
    <w:p w:rsidR="00BB166C" w:rsidRPr="003F06A0" w:rsidRDefault="00BB166C" w:rsidP="000E01B8">
      <w:pPr>
        <w:spacing w:before="0" w:after="240" w:line="240" w:lineRule="auto"/>
        <w:jc w:val="both"/>
      </w:pPr>
      <w:r>
        <w:t xml:space="preserve">Les dispositions relatives aux avertissements taxés ont été reprises de la loi du 20 mai 2008 relative à la création d’un </w:t>
      </w:r>
      <w:r w:rsidRPr="00BF7D73">
        <w:t>Institut luxembourgeois de la normalisation, de l’accréditation, de la sécurité et qualité des produits et services</w:t>
      </w:r>
    </w:p>
    <w:p w:rsidR="00BB166C" w:rsidRPr="003F06A0" w:rsidRDefault="00BB166C" w:rsidP="000E01B8">
      <w:pPr>
        <w:spacing w:before="0" w:line="240" w:lineRule="auto"/>
        <w:rPr>
          <w:b/>
        </w:rPr>
      </w:pPr>
      <w:r w:rsidRPr="003F06A0">
        <w:rPr>
          <w:b/>
        </w:rPr>
        <w:t>Art. 4</w:t>
      </w:r>
      <w:r>
        <w:rPr>
          <w:b/>
        </w:rPr>
        <w:t>3</w:t>
      </w:r>
      <w:r w:rsidRPr="003F06A0">
        <w:rPr>
          <w:b/>
        </w:rPr>
        <w:t xml:space="preserve">. - </w:t>
      </w:r>
      <w:r w:rsidRPr="003F06A0">
        <w:rPr>
          <w:b/>
          <w:i/>
        </w:rPr>
        <w:t xml:space="preserve">Application </w:t>
      </w:r>
      <w:r>
        <w:rPr>
          <w:b/>
          <w:i/>
        </w:rPr>
        <w:t>de la loi modifiée du 21 avril 1989 et de la loi du 31 juillet 2006</w:t>
      </w:r>
      <w:r w:rsidRPr="003F06A0">
        <w:rPr>
          <w:b/>
          <w:i/>
        </w:rPr>
        <w:t xml:space="preserve"> </w:t>
      </w:r>
    </w:p>
    <w:p w:rsidR="00BB166C" w:rsidRDefault="00BB166C" w:rsidP="000E01B8">
      <w:pPr>
        <w:spacing w:before="0" w:after="240" w:line="240" w:lineRule="auto"/>
      </w:pPr>
      <w:r>
        <w:t>Le présent article clarifie les relations entre la présente loi et les lois du 21.04.1989 et du 31.07.2006.</w:t>
      </w:r>
    </w:p>
    <w:p w:rsidR="00BB166C" w:rsidRPr="0097746D" w:rsidRDefault="00BB166C" w:rsidP="000E01B8">
      <w:pPr>
        <w:pStyle w:val="Text1"/>
        <w:ind w:left="0"/>
        <w:rPr>
          <w:b/>
        </w:rPr>
      </w:pPr>
      <w:r w:rsidRPr="0097746D">
        <w:rPr>
          <w:b/>
        </w:rPr>
        <w:t>Art. 44. –</w:t>
      </w:r>
      <w:r>
        <w:rPr>
          <w:b/>
        </w:rPr>
        <w:t xml:space="preserve"> </w:t>
      </w:r>
      <w:r w:rsidRPr="0097746D">
        <w:rPr>
          <w:b/>
          <w:i/>
        </w:rPr>
        <w:t>Période</w:t>
      </w:r>
      <w:r>
        <w:rPr>
          <w:b/>
          <w:i/>
        </w:rPr>
        <w:t>s</w:t>
      </w:r>
      <w:r w:rsidRPr="0097746D">
        <w:rPr>
          <w:b/>
          <w:i/>
        </w:rPr>
        <w:t xml:space="preserve"> de transition</w:t>
      </w:r>
      <w:r>
        <w:rPr>
          <w:b/>
          <w:i/>
        </w:rPr>
        <w:t xml:space="preserve"> (ancien article 53)</w:t>
      </w:r>
    </w:p>
    <w:p w:rsidR="00BB166C" w:rsidRPr="000C342D" w:rsidRDefault="00BB166C" w:rsidP="000E01B8">
      <w:pPr>
        <w:spacing w:before="0" w:line="240" w:lineRule="auto"/>
      </w:pPr>
      <w:r>
        <w:t>Le présent article fixe les périodes de transition entre la présente loi et le</w:t>
      </w:r>
      <w:r w:rsidRPr="00327F6B">
        <w:t xml:space="preserve"> </w:t>
      </w:r>
      <w:r w:rsidRPr="000C342D">
        <w:t xml:space="preserve"> règlement grand-ducal du 3 février 1992 relatif à la sécurité des jouet, modifié par le règlement grand-ducal du 28 mars 1995</w:t>
      </w:r>
      <w:r>
        <w:t>.</w:t>
      </w:r>
    </w:p>
    <w:p w:rsidR="00BB166C" w:rsidRDefault="00BB166C"/>
    <w:sectPr w:rsidR="00BB166C" w:rsidSect="006D3EFF">
      <w:footerReference w:type="default" r:id="rId8"/>
      <w:footnotePr>
        <w:numRestart w:val="eachPage"/>
      </w:footnotePr>
      <w:endnotePr>
        <w:numFmt w:val="decimal"/>
      </w:endnotePr>
      <w:pgSz w:w="11906" w:h="16838" w:code="9"/>
      <w:pgMar w:top="1134" w:right="1134" w:bottom="1134" w:left="1134" w:header="567" w:footer="567"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66C" w:rsidRDefault="00BB166C" w:rsidP="00EE3B1D">
      <w:pPr>
        <w:spacing w:before="0" w:after="0" w:line="240" w:lineRule="auto"/>
      </w:pPr>
      <w:r>
        <w:separator/>
      </w:r>
    </w:p>
  </w:endnote>
  <w:endnote w:type="continuationSeparator" w:id="1">
    <w:p w:rsidR="00BB166C" w:rsidRDefault="00BB166C" w:rsidP="00EE3B1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6C" w:rsidRPr="006C2017" w:rsidRDefault="00BB166C" w:rsidP="006C2017">
    <w:pPr>
      <w:pStyle w:val="Footer"/>
      <w:jc w:val="center"/>
      <w:rPr>
        <w:sz w:val="20"/>
      </w:rPr>
    </w:pPr>
    <w:r w:rsidRPr="006C2017">
      <w:rPr>
        <w:sz w:val="20"/>
      </w:rPr>
      <w:t xml:space="preserve">Page </w:t>
    </w:r>
    <w:r w:rsidRPr="006C2017">
      <w:rPr>
        <w:sz w:val="20"/>
      </w:rPr>
      <w:fldChar w:fldCharType="begin"/>
    </w:r>
    <w:r w:rsidRPr="006C2017">
      <w:rPr>
        <w:sz w:val="20"/>
      </w:rPr>
      <w:instrText xml:space="preserve"> PAGE </w:instrText>
    </w:r>
    <w:r w:rsidRPr="006C2017">
      <w:rPr>
        <w:sz w:val="20"/>
      </w:rPr>
      <w:fldChar w:fldCharType="separate"/>
    </w:r>
    <w:r>
      <w:rPr>
        <w:noProof/>
        <w:sz w:val="20"/>
      </w:rPr>
      <w:t>1</w:t>
    </w:r>
    <w:r w:rsidRPr="006C2017">
      <w:rPr>
        <w:sz w:val="20"/>
      </w:rPr>
      <w:fldChar w:fldCharType="end"/>
    </w:r>
    <w:r w:rsidRPr="006C2017">
      <w:rPr>
        <w:sz w:val="20"/>
      </w:rPr>
      <w:t xml:space="preserve"> sur </w:t>
    </w:r>
    <w:r w:rsidRPr="006C2017">
      <w:rPr>
        <w:sz w:val="20"/>
      </w:rPr>
      <w:fldChar w:fldCharType="begin"/>
    </w:r>
    <w:r w:rsidRPr="006C2017">
      <w:rPr>
        <w:sz w:val="20"/>
      </w:rPr>
      <w:instrText xml:space="preserve"> NUMPAGES </w:instrText>
    </w:r>
    <w:r w:rsidRPr="006C2017">
      <w:rPr>
        <w:sz w:val="20"/>
      </w:rPr>
      <w:fldChar w:fldCharType="separate"/>
    </w:r>
    <w:r>
      <w:rPr>
        <w:noProof/>
        <w:sz w:val="20"/>
      </w:rPr>
      <w:t>44</w:t>
    </w:r>
    <w:r w:rsidRPr="006C201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66C" w:rsidRDefault="00BB166C" w:rsidP="00EE3B1D">
      <w:pPr>
        <w:spacing w:before="0" w:after="0" w:line="240" w:lineRule="auto"/>
      </w:pPr>
      <w:r>
        <w:separator/>
      </w:r>
    </w:p>
  </w:footnote>
  <w:footnote w:type="continuationSeparator" w:id="1">
    <w:p w:rsidR="00BB166C" w:rsidRDefault="00BB166C" w:rsidP="00EE3B1D">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B06F3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822E8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F5A49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D33069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C4467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79E6E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E460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2E9E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FA63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71843F6"/>
    <w:lvl w:ilvl="0">
      <w:start w:val="1"/>
      <w:numFmt w:val="bullet"/>
      <w:lvlText w:val=""/>
      <w:lvlJc w:val="left"/>
      <w:pPr>
        <w:tabs>
          <w:tab w:val="num" w:pos="360"/>
        </w:tabs>
        <w:ind w:left="360" w:hanging="360"/>
      </w:pPr>
      <w:rPr>
        <w:rFonts w:ascii="Symbol" w:hAnsi="Symbol" w:hint="default"/>
      </w:rPr>
    </w:lvl>
  </w:abstractNum>
  <w:abstractNum w:abstractNumId="10">
    <w:nsid w:val="014F6B5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025D4BE7"/>
    <w:multiLevelType w:val="singleLevel"/>
    <w:tmpl w:val="957AD7E4"/>
    <w:name w:val="List Bullet 4"/>
    <w:lvl w:ilvl="0">
      <w:start w:val="1"/>
      <w:numFmt w:val="bullet"/>
      <w:lvlRestart w:val="0"/>
      <w:pStyle w:val="ListBullet4"/>
      <w:lvlText w:val=""/>
      <w:lvlJc w:val="left"/>
      <w:pPr>
        <w:tabs>
          <w:tab w:val="num" w:pos="1134"/>
        </w:tabs>
        <w:ind w:left="1134" w:hanging="283"/>
      </w:pPr>
      <w:rPr>
        <w:rFonts w:ascii="Symbol" w:hAnsi="Symbol"/>
      </w:rPr>
    </w:lvl>
  </w:abstractNum>
  <w:abstractNum w:abstractNumId="12">
    <w:nsid w:val="06B4533D"/>
    <w:multiLevelType w:val="multilevel"/>
    <w:tmpl w:val="14CC3872"/>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C0D12BC"/>
    <w:multiLevelType w:val="singleLevel"/>
    <w:tmpl w:val="6BF2A01A"/>
    <w:lvl w:ilvl="0">
      <w:start w:val="1"/>
      <w:numFmt w:val="bullet"/>
      <w:lvlRestart w:val="0"/>
      <w:pStyle w:val="Tiret3"/>
      <w:lvlText w:val="–"/>
      <w:lvlJc w:val="left"/>
      <w:pPr>
        <w:tabs>
          <w:tab w:val="num" w:pos="2551"/>
        </w:tabs>
        <w:ind w:left="2551" w:hanging="567"/>
      </w:pPr>
    </w:lvl>
  </w:abstractNum>
  <w:abstractNum w:abstractNumId="14">
    <w:nsid w:val="0CF017F7"/>
    <w:multiLevelType w:val="singleLevel"/>
    <w:tmpl w:val="0434A568"/>
    <w:name w:val="Tiret 3"/>
    <w:lvl w:ilvl="0">
      <w:start w:val="1"/>
      <w:numFmt w:val="bullet"/>
      <w:lvlRestart w:val="0"/>
      <w:pStyle w:val="Tiret2"/>
      <w:lvlText w:val="–"/>
      <w:lvlJc w:val="left"/>
      <w:pPr>
        <w:tabs>
          <w:tab w:val="num" w:pos="1984"/>
        </w:tabs>
        <w:ind w:left="1984" w:hanging="567"/>
      </w:pPr>
    </w:lvl>
  </w:abstractNum>
  <w:abstractNum w:abstractNumId="15">
    <w:nsid w:val="12D51A65"/>
    <w:multiLevelType w:val="singleLevel"/>
    <w:tmpl w:val="F6826E26"/>
    <w:name w:val="Tiret 2"/>
    <w:lvl w:ilvl="0">
      <w:start w:val="1"/>
      <w:numFmt w:val="bullet"/>
      <w:lvlRestart w:val="0"/>
      <w:pStyle w:val="Tiret0"/>
      <w:lvlText w:val="–"/>
      <w:lvlJc w:val="left"/>
      <w:pPr>
        <w:tabs>
          <w:tab w:val="num" w:pos="850"/>
        </w:tabs>
        <w:ind w:left="850" w:hanging="850"/>
      </w:pPr>
    </w:lvl>
  </w:abstractNum>
  <w:abstractNum w:abstractNumId="16">
    <w:nsid w:val="12F323E1"/>
    <w:multiLevelType w:val="singleLevel"/>
    <w:tmpl w:val="75EAFEAC"/>
    <w:name w:val="Tiret 0"/>
    <w:lvl w:ilvl="0">
      <w:start w:val="1"/>
      <w:numFmt w:val="bullet"/>
      <w:lvlRestart w:val="0"/>
      <w:pStyle w:val="ListBullet1"/>
      <w:lvlText w:val=""/>
      <w:lvlJc w:val="left"/>
      <w:pPr>
        <w:tabs>
          <w:tab w:val="num" w:pos="1134"/>
        </w:tabs>
        <w:ind w:left="1134" w:hanging="283"/>
      </w:pPr>
      <w:rPr>
        <w:rFonts w:ascii="Symbol" w:hAnsi="Symbol"/>
      </w:rPr>
    </w:lvl>
  </w:abstractNum>
  <w:abstractNum w:abstractNumId="17">
    <w:nsid w:val="1A6B2444"/>
    <w:multiLevelType w:val="singleLevel"/>
    <w:tmpl w:val="F4005EEE"/>
    <w:lvl w:ilvl="0">
      <w:start w:val="1"/>
      <w:numFmt w:val="bullet"/>
      <w:lvlRestart w:val="0"/>
      <w:pStyle w:val="ListBullet"/>
      <w:lvlText w:val=""/>
      <w:lvlJc w:val="left"/>
      <w:pPr>
        <w:tabs>
          <w:tab w:val="num" w:pos="283"/>
        </w:tabs>
        <w:ind w:left="283" w:hanging="283"/>
      </w:pPr>
      <w:rPr>
        <w:rFonts w:ascii="Symbol" w:hAnsi="Symbol"/>
      </w:rPr>
    </w:lvl>
  </w:abstractNum>
  <w:abstractNum w:abstractNumId="18">
    <w:nsid w:val="1A6E25DA"/>
    <w:multiLevelType w:val="singleLevel"/>
    <w:tmpl w:val="2A50ABCA"/>
    <w:lvl w:ilvl="0">
      <w:start w:val="1"/>
      <w:numFmt w:val="bullet"/>
      <w:lvlRestart w:val="0"/>
      <w:pStyle w:val="Tiret1"/>
      <w:lvlText w:val="–"/>
      <w:lvlJc w:val="left"/>
      <w:pPr>
        <w:tabs>
          <w:tab w:val="num" w:pos="1417"/>
        </w:tabs>
        <w:ind w:left="1417" w:hanging="567"/>
      </w:pPr>
    </w:lvl>
  </w:abstractNum>
  <w:abstractNum w:abstractNumId="19">
    <w:nsid w:val="1C5653C6"/>
    <w:multiLevelType w:val="singleLevel"/>
    <w:tmpl w:val="F6DA9882"/>
    <w:lvl w:ilvl="0">
      <w:start w:val="1"/>
      <w:numFmt w:val="decimal"/>
      <w:lvlRestart w:val="0"/>
      <w:pStyle w:val="Considrant"/>
      <w:lvlText w:val="(%1)"/>
      <w:lvlJc w:val="left"/>
      <w:pPr>
        <w:tabs>
          <w:tab w:val="num" w:pos="850"/>
        </w:tabs>
        <w:ind w:left="850" w:hanging="850"/>
      </w:pPr>
      <w:rPr>
        <w:rFonts w:cs="Times New Roman"/>
      </w:rPr>
    </w:lvl>
  </w:abstractNum>
  <w:abstractNum w:abstractNumId="20">
    <w:nsid w:val="1DF2011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1E3C1FE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2E621277"/>
    <w:multiLevelType w:val="multilevel"/>
    <w:tmpl w:val="BD027E72"/>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2F726255"/>
    <w:multiLevelType w:val="singleLevel"/>
    <w:tmpl w:val="C3CE4888"/>
    <w:lvl w:ilvl="0">
      <w:start w:val="1"/>
      <w:numFmt w:val="bullet"/>
      <w:lvlRestart w:val="0"/>
      <w:pStyle w:val="ListBullet3"/>
      <w:lvlText w:val=""/>
      <w:lvlJc w:val="left"/>
      <w:pPr>
        <w:tabs>
          <w:tab w:val="num" w:pos="1134"/>
        </w:tabs>
        <w:ind w:left="1134" w:hanging="283"/>
      </w:pPr>
      <w:rPr>
        <w:rFonts w:ascii="Symbol" w:hAnsi="Symbol"/>
      </w:rPr>
    </w:lvl>
  </w:abstractNum>
  <w:abstractNum w:abstractNumId="24">
    <w:nsid w:val="3FC80B1B"/>
    <w:multiLevelType w:val="singleLevel"/>
    <w:tmpl w:val="2C80AEE2"/>
    <w:name w:val="Tiret 1"/>
    <w:lvl w:ilvl="0">
      <w:start w:val="1"/>
      <w:numFmt w:val="decimal"/>
      <w:pStyle w:val="Par-number1"/>
      <w:lvlText w:val="%1)"/>
      <w:lvlJc w:val="left"/>
      <w:pPr>
        <w:tabs>
          <w:tab w:val="num" w:pos="567"/>
        </w:tabs>
        <w:ind w:left="567" w:hanging="567"/>
      </w:pPr>
      <w:rPr>
        <w:rFonts w:cs="Times New Roman"/>
      </w:rPr>
    </w:lvl>
  </w:abstractNum>
  <w:abstractNum w:abstractNumId="25">
    <w:nsid w:val="436E0A5D"/>
    <w:multiLevelType w:val="singleLevel"/>
    <w:tmpl w:val="1A8A7AF8"/>
    <w:name w:val="Considérant"/>
    <w:lvl w:ilvl="0">
      <w:start w:val="1"/>
      <w:numFmt w:val="bullet"/>
      <w:pStyle w:val="PGLLcode"/>
      <w:lvlText w:val=""/>
      <w:lvlJc w:val="left"/>
      <w:pPr>
        <w:tabs>
          <w:tab w:val="num" w:pos="567"/>
        </w:tabs>
        <w:ind w:left="567" w:hanging="567"/>
      </w:pPr>
      <w:rPr>
        <w:rFonts w:ascii="Symbol" w:hAnsi="Symbol" w:hint="default"/>
      </w:rPr>
    </w:lvl>
  </w:abstractNum>
  <w:abstractNum w:abstractNumId="26">
    <w:nsid w:val="45C8446D"/>
    <w:multiLevelType w:val="singleLevel"/>
    <w:tmpl w:val="417EEAAE"/>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4B4E2E05"/>
    <w:multiLevelType w:val="singleLevel"/>
    <w:tmpl w:val="2076B20A"/>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28">
    <w:nsid w:val="4BFA0450"/>
    <w:multiLevelType w:val="singleLevel"/>
    <w:tmpl w:val="A2E6F9D0"/>
    <w:lvl w:ilvl="0">
      <w:start w:val="1"/>
      <w:numFmt w:val="bullet"/>
      <w:lvlRestart w:val="0"/>
      <w:pStyle w:val="ListBullet2"/>
      <w:lvlText w:val=""/>
      <w:lvlJc w:val="left"/>
      <w:pPr>
        <w:tabs>
          <w:tab w:val="num" w:pos="1134"/>
        </w:tabs>
        <w:ind w:left="1134" w:hanging="283"/>
      </w:pPr>
      <w:rPr>
        <w:rFonts w:ascii="Symbol" w:hAnsi="Symbol"/>
      </w:rPr>
    </w:lvl>
  </w:abstractNum>
  <w:abstractNum w:abstractNumId="29">
    <w:nsid w:val="4D04489F"/>
    <w:multiLevelType w:val="multilevel"/>
    <w:tmpl w:val="224AF8B8"/>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2A716D5"/>
    <w:multiLevelType w:val="multilevel"/>
    <w:tmpl w:val="0409001D"/>
    <w:name w:val="ELList"/>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7064F45"/>
    <w:multiLevelType w:val="singleLevel"/>
    <w:tmpl w:val="07FCB144"/>
    <w:lvl w:ilvl="0">
      <w:start w:val="1"/>
      <w:numFmt w:val="bullet"/>
      <w:lvlRestart w:val="0"/>
      <w:pStyle w:val="Tiret4"/>
      <w:lvlText w:val="–"/>
      <w:lvlJc w:val="left"/>
      <w:pPr>
        <w:tabs>
          <w:tab w:val="num" w:pos="3118"/>
        </w:tabs>
        <w:ind w:left="3118" w:hanging="567"/>
      </w:pPr>
    </w:lvl>
  </w:abstractNum>
  <w:abstractNum w:abstractNumId="32">
    <w:nsid w:val="57466B4D"/>
    <w:multiLevelType w:val="singleLevel"/>
    <w:tmpl w:val="09B485D4"/>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3">
    <w:nsid w:val="598F799E"/>
    <w:multiLevelType w:val="multilevel"/>
    <w:tmpl w:val="04FC8F94"/>
    <w:name w:val="List Number 4"/>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5B6C067B"/>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53A240E"/>
    <w:multiLevelType w:val="multilevel"/>
    <w:tmpl w:val="6212D1D8"/>
    <w:name w:val="List Bullet 3"/>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65A817E8"/>
    <w:multiLevelType w:val="singleLevel"/>
    <w:tmpl w:val="48B0FC3E"/>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7">
    <w:nsid w:val="67BF486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B73887"/>
    <w:multiLevelType w:val="multilevel"/>
    <w:tmpl w:val="9A10F8D4"/>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79E38A8"/>
    <w:multiLevelType w:val="hybridMultilevel"/>
    <w:tmpl w:val="6D548734"/>
    <w:lvl w:ilvl="0" w:tplc="9BB872AC">
      <w:start w:val="1"/>
      <w:numFmt w:val="bullet"/>
      <w:lvlText w:val="-"/>
      <w:lvlJc w:val="left"/>
      <w:pPr>
        <w:tabs>
          <w:tab w:val="num" w:pos="1287"/>
        </w:tabs>
        <w:ind w:left="1287" w:hanging="360"/>
      </w:pPr>
      <w:rPr>
        <w:rFonts w:ascii="Arial" w:hAnsi="Aria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79FA34D6"/>
    <w:multiLevelType w:val="singleLevel"/>
    <w:tmpl w:val="48F09942"/>
    <w:lvl w:ilvl="0">
      <w:start w:val="1"/>
      <w:numFmt w:val="bullet"/>
      <w:pStyle w:val="NoteHead"/>
      <w:lvlText w:val=""/>
      <w:lvlJc w:val="left"/>
      <w:pPr>
        <w:tabs>
          <w:tab w:val="num" w:pos="567"/>
        </w:tabs>
        <w:ind w:left="567" w:hanging="567"/>
      </w:pPr>
      <w:rPr>
        <w:rFonts w:ascii="Symbol" w:hAnsi="Symbol" w:hint="default"/>
      </w:rPr>
    </w:lvl>
  </w:abstractNum>
  <w:abstractNum w:abstractNumId="41">
    <w:nsid w:val="7B280870"/>
    <w:multiLevelType w:val="multilevel"/>
    <w:tmpl w:val="70CA8036"/>
    <w:name w:val="List Dash 2"/>
    <w:lvl w:ilvl="0">
      <w:start w:val="1"/>
      <w:numFmt w:val="decimal"/>
      <w:lvlRestart w:val="0"/>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pStyle w:val="Heading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BBE7B3C"/>
    <w:multiLevelType w:val="singleLevel"/>
    <w:tmpl w:val="844CEA8C"/>
    <w:name w:val="List Dash 4"/>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43">
    <w:nsid w:val="7ECB7708"/>
    <w:multiLevelType w:val="singleLevel"/>
    <w:tmpl w:val="74C881EE"/>
    <w:name w:val="List Bullet 2"/>
    <w:lvl w:ilvl="0">
      <w:start w:val="1"/>
      <w:numFmt w:val="decimal"/>
      <w:pStyle w:val="ATHeading1"/>
      <w:lvlText w:val="%1."/>
      <w:lvlJc w:val="left"/>
      <w:pPr>
        <w:tabs>
          <w:tab w:val="num" w:pos="360"/>
        </w:tabs>
        <w:ind w:left="360" w:hanging="360"/>
      </w:pPr>
      <w:rPr>
        <w:rFonts w:cs="Times New Roman"/>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4"/>
  </w:num>
  <w:num w:numId="10">
    <w:abstractNumId w:val="0"/>
  </w:num>
  <w:num w:numId="11">
    <w:abstractNumId w:val="9"/>
  </w:num>
  <w:num w:numId="12">
    <w:abstractNumId w:val="7"/>
  </w:num>
  <w:num w:numId="13">
    <w:abstractNumId w:val="6"/>
  </w:num>
  <w:num w:numId="14">
    <w:abstractNumId w:val="5"/>
  </w:num>
  <w:num w:numId="15">
    <w:abstractNumId w:val="8"/>
  </w:num>
  <w:num w:numId="16">
    <w:abstractNumId w:val="15"/>
  </w:num>
  <w:num w:numId="17">
    <w:abstractNumId w:val="18"/>
  </w:num>
  <w:num w:numId="18">
    <w:abstractNumId w:val="14"/>
  </w:num>
  <w:num w:numId="19">
    <w:abstractNumId w:val="13"/>
  </w:num>
  <w:num w:numId="20">
    <w:abstractNumId w:val="31"/>
  </w:num>
  <w:num w:numId="21">
    <w:abstractNumId w:val="12"/>
  </w:num>
  <w:num w:numId="22">
    <w:abstractNumId w:val="41"/>
  </w:num>
  <w:num w:numId="23">
    <w:abstractNumId w:val="17"/>
  </w:num>
  <w:num w:numId="24">
    <w:abstractNumId w:val="16"/>
  </w:num>
  <w:num w:numId="25">
    <w:abstractNumId w:val="28"/>
  </w:num>
  <w:num w:numId="26">
    <w:abstractNumId w:val="23"/>
  </w:num>
  <w:num w:numId="27">
    <w:abstractNumId w:val="11"/>
  </w:num>
  <w:num w:numId="28">
    <w:abstractNumId w:val="42"/>
  </w:num>
  <w:num w:numId="29">
    <w:abstractNumId w:val="32"/>
  </w:num>
  <w:num w:numId="30">
    <w:abstractNumId w:val="26"/>
  </w:num>
  <w:num w:numId="31">
    <w:abstractNumId w:val="36"/>
  </w:num>
  <w:num w:numId="32">
    <w:abstractNumId w:val="27"/>
  </w:num>
  <w:num w:numId="33">
    <w:abstractNumId w:val="33"/>
  </w:num>
  <w:num w:numId="34">
    <w:abstractNumId w:val="35"/>
  </w:num>
  <w:num w:numId="35">
    <w:abstractNumId w:val="38"/>
  </w:num>
  <w:num w:numId="36">
    <w:abstractNumId w:val="29"/>
  </w:num>
  <w:num w:numId="37">
    <w:abstractNumId w:val="22"/>
  </w:num>
  <w:num w:numId="38">
    <w:abstractNumId w:val="19"/>
  </w:num>
  <w:num w:numId="39">
    <w:abstractNumId w:val="10"/>
  </w:num>
  <w:num w:numId="40">
    <w:abstractNumId w:val="30"/>
  </w:num>
  <w:num w:numId="41">
    <w:abstractNumId w:val="20"/>
  </w:num>
  <w:num w:numId="42">
    <w:abstractNumId w:val="4"/>
  </w:num>
  <w:num w:numId="43">
    <w:abstractNumId w:val="0"/>
  </w:num>
  <w:num w:numId="44">
    <w:abstractNumId w:val="43"/>
  </w:num>
  <w:num w:numId="45">
    <w:abstractNumId w:val="40"/>
  </w:num>
  <w:num w:numId="46">
    <w:abstractNumId w:val="25"/>
  </w:num>
  <w:num w:numId="47">
    <w:abstractNumId w:val="24"/>
  </w:num>
  <w:num w:numId="48">
    <w:abstractNumId w:val="39"/>
  </w:num>
  <w:num w:numId="49">
    <w:abstractNumId w:val="37"/>
  </w:num>
  <w:num w:numId="50">
    <w:abstractNumId w:val="21"/>
  </w:num>
  <w:num w:numId="51">
    <w:abstractNumId w:val="3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20"/>
  <w:displayHorizontalDrawingGridEvery w:val="2"/>
  <w:displayVerticalDrawingGridEvery w:val="2"/>
  <w:characterSpacingControl w:val="doNotCompress"/>
  <w:footnotePr>
    <w:numRestart w:val="eachPage"/>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1B8"/>
    <w:rsid w:val="00005DCE"/>
    <w:rsid w:val="00035B71"/>
    <w:rsid w:val="00041D97"/>
    <w:rsid w:val="000440A9"/>
    <w:rsid w:val="000627A4"/>
    <w:rsid w:val="000726D1"/>
    <w:rsid w:val="000A7B10"/>
    <w:rsid w:val="000B14E6"/>
    <w:rsid w:val="000C342D"/>
    <w:rsid w:val="000E01B8"/>
    <w:rsid w:val="000E179C"/>
    <w:rsid w:val="000E1F58"/>
    <w:rsid w:val="000F6F7C"/>
    <w:rsid w:val="00115869"/>
    <w:rsid w:val="001220C3"/>
    <w:rsid w:val="00122B41"/>
    <w:rsid w:val="00141894"/>
    <w:rsid w:val="001E1B12"/>
    <w:rsid w:val="001E1FB4"/>
    <w:rsid w:val="00243E09"/>
    <w:rsid w:val="00257EFE"/>
    <w:rsid w:val="00297205"/>
    <w:rsid w:val="002A0968"/>
    <w:rsid w:val="002B6853"/>
    <w:rsid w:val="002D5E99"/>
    <w:rsid w:val="002F79E4"/>
    <w:rsid w:val="00317732"/>
    <w:rsid w:val="003221CE"/>
    <w:rsid w:val="0032624E"/>
    <w:rsid w:val="00327F6B"/>
    <w:rsid w:val="003719E9"/>
    <w:rsid w:val="00383475"/>
    <w:rsid w:val="00391A2D"/>
    <w:rsid w:val="003B4871"/>
    <w:rsid w:val="003C0876"/>
    <w:rsid w:val="003F06A0"/>
    <w:rsid w:val="003F5C88"/>
    <w:rsid w:val="00402CEB"/>
    <w:rsid w:val="00402D9B"/>
    <w:rsid w:val="00407A5D"/>
    <w:rsid w:val="00435396"/>
    <w:rsid w:val="00447176"/>
    <w:rsid w:val="0047180B"/>
    <w:rsid w:val="004E09C2"/>
    <w:rsid w:val="004E5A04"/>
    <w:rsid w:val="005004A1"/>
    <w:rsid w:val="00535BB9"/>
    <w:rsid w:val="00540DBC"/>
    <w:rsid w:val="00541ABE"/>
    <w:rsid w:val="00546022"/>
    <w:rsid w:val="00552DB3"/>
    <w:rsid w:val="00553F2F"/>
    <w:rsid w:val="00572A16"/>
    <w:rsid w:val="005746B7"/>
    <w:rsid w:val="005A4D4C"/>
    <w:rsid w:val="005A6A21"/>
    <w:rsid w:val="005A6E31"/>
    <w:rsid w:val="006136FD"/>
    <w:rsid w:val="00631E5C"/>
    <w:rsid w:val="00650060"/>
    <w:rsid w:val="00672F0C"/>
    <w:rsid w:val="006A514C"/>
    <w:rsid w:val="006A6EA1"/>
    <w:rsid w:val="006C2017"/>
    <w:rsid w:val="006D3EFF"/>
    <w:rsid w:val="006F543A"/>
    <w:rsid w:val="0072087F"/>
    <w:rsid w:val="00735CC9"/>
    <w:rsid w:val="00746F69"/>
    <w:rsid w:val="00771A6A"/>
    <w:rsid w:val="00774222"/>
    <w:rsid w:val="00797926"/>
    <w:rsid w:val="007A21B4"/>
    <w:rsid w:val="007B1750"/>
    <w:rsid w:val="007C4A58"/>
    <w:rsid w:val="00825585"/>
    <w:rsid w:val="0084059C"/>
    <w:rsid w:val="008427B9"/>
    <w:rsid w:val="00856676"/>
    <w:rsid w:val="00874BDC"/>
    <w:rsid w:val="00882975"/>
    <w:rsid w:val="008A383C"/>
    <w:rsid w:val="008E42CF"/>
    <w:rsid w:val="008E7156"/>
    <w:rsid w:val="008F0DC0"/>
    <w:rsid w:val="008F2A8F"/>
    <w:rsid w:val="008F4814"/>
    <w:rsid w:val="009112EF"/>
    <w:rsid w:val="00914211"/>
    <w:rsid w:val="00927CC6"/>
    <w:rsid w:val="00951FBF"/>
    <w:rsid w:val="00954137"/>
    <w:rsid w:val="00966AFF"/>
    <w:rsid w:val="0097746D"/>
    <w:rsid w:val="00986849"/>
    <w:rsid w:val="009A469D"/>
    <w:rsid w:val="009A76F2"/>
    <w:rsid w:val="009D702D"/>
    <w:rsid w:val="009F36EF"/>
    <w:rsid w:val="009F400F"/>
    <w:rsid w:val="00A15C07"/>
    <w:rsid w:val="00A23369"/>
    <w:rsid w:val="00A30F0B"/>
    <w:rsid w:val="00A45E27"/>
    <w:rsid w:val="00A66E4A"/>
    <w:rsid w:val="00A77188"/>
    <w:rsid w:val="00AC7866"/>
    <w:rsid w:val="00AD6EC8"/>
    <w:rsid w:val="00AD77A0"/>
    <w:rsid w:val="00AF13E0"/>
    <w:rsid w:val="00AF21C8"/>
    <w:rsid w:val="00B00E26"/>
    <w:rsid w:val="00B01713"/>
    <w:rsid w:val="00B404C7"/>
    <w:rsid w:val="00B60C60"/>
    <w:rsid w:val="00B73A72"/>
    <w:rsid w:val="00BB0CF3"/>
    <w:rsid w:val="00BB166C"/>
    <w:rsid w:val="00BC4803"/>
    <w:rsid w:val="00BF7D73"/>
    <w:rsid w:val="00C14EE8"/>
    <w:rsid w:val="00C474AF"/>
    <w:rsid w:val="00C6012C"/>
    <w:rsid w:val="00C71B75"/>
    <w:rsid w:val="00C80153"/>
    <w:rsid w:val="00C83C6F"/>
    <w:rsid w:val="00CE136F"/>
    <w:rsid w:val="00CE2B1A"/>
    <w:rsid w:val="00CE31B3"/>
    <w:rsid w:val="00D34E80"/>
    <w:rsid w:val="00D5021E"/>
    <w:rsid w:val="00D83B45"/>
    <w:rsid w:val="00DC31BE"/>
    <w:rsid w:val="00DF00FB"/>
    <w:rsid w:val="00E117A7"/>
    <w:rsid w:val="00E33E69"/>
    <w:rsid w:val="00E37655"/>
    <w:rsid w:val="00E50F7B"/>
    <w:rsid w:val="00E616B4"/>
    <w:rsid w:val="00EB2ABB"/>
    <w:rsid w:val="00EC4998"/>
    <w:rsid w:val="00ED1A14"/>
    <w:rsid w:val="00EE3B1D"/>
    <w:rsid w:val="00F03572"/>
    <w:rsid w:val="00F516DA"/>
    <w:rsid w:val="00F774D2"/>
    <w:rsid w:val="00FB72F5"/>
    <w:rsid w:val="00FC34B5"/>
    <w:rsid w:val="00FC532B"/>
    <w:rsid w:val="00FD75F7"/>
    <w:rsid w:val="00FE0D2D"/>
    <w:rsid w:val="00FE5D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locked="1" w:semiHidden="0" w:uiPriority="0"/>
    <w:lsdException w:name="macro" w:unhideWhenUsed="1"/>
    <w:lsdException w:name="toa heading" w:locked="1" w:semiHidden="0" w:uiPriority="0"/>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unhideWhenUsed="1"/>
    <w:lsdException w:name="Body Text First Indent 2" w:unhideWhenUsed="1"/>
    <w:lsdException w:name="Note Heading" w:locked="1" w:semiHidden="0" w:uiPriority="0"/>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E01B8"/>
    <w:pPr>
      <w:spacing w:before="120" w:after="120" w:line="360" w:lineRule="auto"/>
    </w:pPr>
    <w:rPr>
      <w:rFonts w:eastAsia="Times New Roman"/>
      <w:sz w:val="24"/>
      <w:szCs w:val="20"/>
      <w:lang w:val="fr-FR"/>
    </w:rPr>
  </w:style>
  <w:style w:type="paragraph" w:styleId="Heading1">
    <w:name w:val="heading 1"/>
    <w:basedOn w:val="Normal"/>
    <w:next w:val="Text1"/>
    <w:link w:val="Heading1Char"/>
    <w:uiPriority w:val="99"/>
    <w:qFormat/>
    <w:rsid w:val="000E01B8"/>
    <w:pPr>
      <w:keepNext/>
      <w:numPr>
        <w:numId w:val="22"/>
      </w:numPr>
      <w:spacing w:before="360"/>
      <w:outlineLvl w:val="0"/>
    </w:pPr>
    <w:rPr>
      <w:b/>
      <w:smallCaps/>
    </w:rPr>
  </w:style>
  <w:style w:type="paragraph" w:styleId="Heading2">
    <w:name w:val="heading 2"/>
    <w:basedOn w:val="Normal"/>
    <w:next w:val="Text2"/>
    <w:link w:val="Heading2Char"/>
    <w:uiPriority w:val="99"/>
    <w:qFormat/>
    <w:rsid w:val="000E01B8"/>
    <w:pPr>
      <w:keepNext/>
      <w:numPr>
        <w:ilvl w:val="1"/>
        <w:numId w:val="22"/>
      </w:numPr>
      <w:outlineLvl w:val="1"/>
    </w:pPr>
    <w:rPr>
      <w:b/>
    </w:rPr>
  </w:style>
  <w:style w:type="paragraph" w:styleId="Heading3">
    <w:name w:val="heading 3"/>
    <w:basedOn w:val="Normal"/>
    <w:next w:val="Text3"/>
    <w:link w:val="Heading3Char"/>
    <w:uiPriority w:val="99"/>
    <w:qFormat/>
    <w:rsid w:val="000E01B8"/>
    <w:pPr>
      <w:keepNext/>
      <w:numPr>
        <w:ilvl w:val="2"/>
        <w:numId w:val="22"/>
      </w:numPr>
      <w:outlineLvl w:val="2"/>
    </w:pPr>
    <w:rPr>
      <w:i/>
    </w:rPr>
  </w:style>
  <w:style w:type="paragraph" w:styleId="Heading4">
    <w:name w:val="heading 4"/>
    <w:basedOn w:val="Normal"/>
    <w:next w:val="Text4"/>
    <w:link w:val="Heading4Char"/>
    <w:uiPriority w:val="99"/>
    <w:qFormat/>
    <w:rsid w:val="000E01B8"/>
    <w:pPr>
      <w:keepNext/>
      <w:numPr>
        <w:ilvl w:val="3"/>
        <w:numId w:val="22"/>
      </w:numPr>
      <w:outlineLvl w:val="3"/>
    </w:pPr>
  </w:style>
  <w:style w:type="paragraph" w:styleId="Heading5">
    <w:name w:val="heading 5"/>
    <w:basedOn w:val="Normal"/>
    <w:next w:val="Normal"/>
    <w:link w:val="Heading5Char"/>
    <w:uiPriority w:val="99"/>
    <w:qFormat/>
    <w:rsid w:val="000E01B8"/>
    <w:pPr>
      <w:spacing w:before="240" w:after="60"/>
      <w:outlineLvl w:val="4"/>
    </w:pPr>
    <w:rPr>
      <w:b/>
      <w:bCs/>
      <w:i/>
      <w:iCs/>
      <w:sz w:val="26"/>
      <w:szCs w:val="26"/>
    </w:rPr>
  </w:style>
  <w:style w:type="paragraph" w:styleId="Heading6">
    <w:name w:val="heading 6"/>
    <w:basedOn w:val="Normal"/>
    <w:next w:val="Normal"/>
    <w:link w:val="Heading6Char"/>
    <w:uiPriority w:val="99"/>
    <w:qFormat/>
    <w:rsid w:val="000E01B8"/>
    <w:pPr>
      <w:spacing w:before="240" w:after="60"/>
      <w:outlineLvl w:val="5"/>
    </w:pPr>
    <w:rPr>
      <w:b/>
      <w:bCs/>
      <w:sz w:val="22"/>
      <w:szCs w:val="22"/>
    </w:rPr>
  </w:style>
  <w:style w:type="paragraph" w:styleId="Heading7">
    <w:name w:val="heading 7"/>
    <w:basedOn w:val="Normal"/>
    <w:next w:val="Normal"/>
    <w:link w:val="Heading7Char"/>
    <w:uiPriority w:val="99"/>
    <w:qFormat/>
    <w:rsid w:val="000E01B8"/>
    <w:pPr>
      <w:spacing w:before="240" w:after="60"/>
      <w:outlineLvl w:val="6"/>
    </w:pPr>
    <w:rPr>
      <w:szCs w:val="24"/>
    </w:rPr>
  </w:style>
  <w:style w:type="paragraph" w:styleId="Heading8">
    <w:name w:val="heading 8"/>
    <w:basedOn w:val="Normal"/>
    <w:next w:val="Normal"/>
    <w:link w:val="Heading8Char"/>
    <w:uiPriority w:val="99"/>
    <w:qFormat/>
    <w:rsid w:val="000E01B8"/>
    <w:pPr>
      <w:spacing w:before="240" w:after="60"/>
      <w:outlineLvl w:val="7"/>
    </w:pPr>
    <w:rPr>
      <w:i/>
      <w:iCs/>
      <w:szCs w:val="24"/>
    </w:rPr>
  </w:style>
  <w:style w:type="paragraph" w:styleId="Heading9">
    <w:name w:val="heading 9"/>
    <w:basedOn w:val="Normal"/>
    <w:next w:val="Normal"/>
    <w:link w:val="Heading9Char"/>
    <w:uiPriority w:val="99"/>
    <w:qFormat/>
    <w:rsid w:val="000E01B8"/>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1B8"/>
    <w:rPr>
      <w:rFonts w:eastAsia="Times New Roman"/>
      <w:b/>
      <w:smallCaps/>
      <w:sz w:val="24"/>
      <w:szCs w:val="20"/>
      <w:lang w:val="fr-FR"/>
    </w:rPr>
  </w:style>
  <w:style w:type="character" w:customStyle="1" w:styleId="Heading2Char">
    <w:name w:val="Heading 2 Char"/>
    <w:basedOn w:val="DefaultParagraphFont"/>
    <w:link w:val="Heading2"/>
    <w:uiPriority w:val="99"/>
    <w:locked/>
    <w:rsid w:val="000E01B8"/>
    <w:rPr>
      <w:rFonts w:eastAsia="Times New Roman"/>
      <w:b/>
      <w:sz w:val="24"/>
      <w:szCs w:val="20"/>
      <w:lang w:val="fr-FR"/>
    </w:rPr>
  </w:style>
  <w:style w:type="character" w:customStyle="1" w:styleId="Heading3Char">
    <w:name w:val="Heading 3 Char"/>
    <w:basedOn w:val="DefaultParagraphFont"/>
    <w:link w:val="Heading3"/>
    <w:uiPriority w:val="99"/>
    <w:locked/>
    <w:rsid w:val="000E01B8"/>
    <w:rPr>
      <w:rFonts w:eastAsia="Times New Roman"/>
      <w:i/>
      <w:sz w:val="24"/>
      <w:szCs w:val="20"/>
      <w:lang w:val="fr-FR"/>
    </w:rPr>
  </w:style>
  <w:style w:type="character" w:customStyle="1" w:styleId="Heading4Char">
    <w:name w:val="Heading 4 Char"/>
    <w:basedOn w:val="DefaultParagraphFont"/>
    <w:link w:val="Heading4"/>
    <w:uiPriority w:val="99"/>
    <w:locked/>
    <w:rsid w:val="000E01B8"/>
    <w:rPr>
      <w:rFonts w:eastAsia="Times New Roman"/>
      <w:sz w:val="24"/>
      <w:szCs w:val="20"/>
      <w:lang w:val="fr-FR"/>
    </w:rPr>
  </w:style>
  <w:style w:type="character" w:customStyle="1" w:styleId="Heading5Char">
    <w:name w:val="Heading 5 Char"/>
    <w:basedOn w:val="DefaultParagraphFont"/>
    <w:link w:val="Heading5"/>
    <w:uiPriority w:val="99"/>
    <w:locked/>
    <w:rsid w:val="000E01B8"/>
    <w:rPr>
      <w:rFonts w:eastAsia="Times New Roman" w:cs="Times New Roman"/>
      <w:b/>
      <w:bCs/>
      <w:i/>
      <w:iCs/>
      <w:sz w:val="26"/>
      <w:szCs w:val="26"/>
      <w:lang w:val="fr-FR"/>
    </w:rPr>
  </w:style>
  <w:style w:type="character" w:customStyle="1" w:styleId="Heading6Char">
    <w:name w:val="Heading 6 Char"/>
    <w:basedOn w:val="DefaultParagraphFont"/>
    <w:link w:val="Heading6"/>
    <w:uiPriority w:val="99"/>
    <w:locked/>
    <w:rsid w:val="000E01B8"/>
    <w:rPr>
      <w:rFonts w:eastAsia="Times New Roman" w:cs="Times New Roman"/>
      <w:b/>
      <w:bCs/>
      <w:sz w:val="22"/>
      <w:lang w:val="fr-FR"/>
    </w:rPr>
  </w:style>
  <w:style w:type="character" w:customStyle="1" w:styleId="Heading7Char">
    <w:name w:val="Heading 7 Char"/>
    <w:basedOn w:val="DefaultParagraphFont"/>
    <w:link w:val="Heading7"/>
    <w:uiPriority w:val="99"/>
    <w:locked/>
    <w:rsid w:val="000E01B8"/>
    <w:rPr>
      <w:rFonts w:eastAsia="Times New Roman" w:cs="Times New Roman"/>
      <w:sz w:val="24"/>
      <w:szCs w:val="24"/>
      <w:lang w:val="fr-FR"/>
    </w:rPr>
  </w:style>
  <w:style w:type="character" w:customStyle="1" w:styleId="Heading8Char">
    <w:name w:val="Heading 8 Char"/>
    <w:basedOn w:val="DefaultParagraphFont"/>
    <w:link w:val="Heading8"/>
    <w:uiPriority w:val="99"/>
    <w:locked/>
    <w:rsid w:val="000E01B8"/>
    <w:rPr>
      <w:rFonts w:eastAsia="Times New Roman" w:cs="Times New Roman"/>
      <w:i/>
      <w:iCs/>
      <w:sz w:val="24"/>
      <w:szCs w:val="24"/>
      <w:lang w:val="fr-FR"/>
    </w:rPr>
  </w:style>
  <w:style w:type="character" w:customStyle="1" w:styleId="Heading9Char">
    <w:name w:val="Heading 9 Char"/>
    <w:basedOn w:val="DefaultParagraphFont"/>
    <w:link w:val="Heading9"/>
    <w:uiPriority w:val="99"/>
    <w:locked/>
    <w:rsid w:val="000E01B8"/>
    <w:rPr>
      <w:rFonts w:ascii="Arial" w:hAnsi="Arial" w:cs="Arial"/>
      <w:sz w:val="22"/>
      <w:lang w:val="fr-FR"/>
    </w:rPr>
  </w:style>
  <w:style w:type="paragraph" w:styleId="Header">
    <w:name w:val="header"/>
    <w:basedOn w:val="Normal"/>
    <w:link w:val="HeaderChar"/>
    <w:uiPriority w:val="99"/>
    <w:rsid w:val="000E01B8"/>
    <w:pPr>
      <w:tabs>
        <w:tab w:val="right" w:pos="9638"/>
      </w:tabs>
    </w:pPr>
  </w:style>
  <w:style w:type="character" w:customStyle="1" w:styleId="HeaderChar">
    <w:name w:val="Header Char"/>
    <w:basedOn w:val="DefaultParagraphFont"/>
    <w:link w:val="Header"/>
    <w:uiPriority w:val="99"/>
    <w:locked/>
    <w:rsid w:val="000E01B8"/>
    <w:rPr>
      <w:rFonts w:eastAsia="Times New Roman" w:cs="Times New Roman"/>
      <w:sz w:val="20"/>
      <w:szCs w:val="20"/>
      <w:lang w:val="fr-FR"/>
    </w:rPr>
  </w:style>
  <w:style w:type="paragraph" w:styleId="Footer">
    <w:name w:val="footer"/>
    <w:basedOn w:val="Normal"/>
    <w:link w:val="FooterChar"/>
    <w:uiPriority w:val="99"/>
    <w:rsid w:val="000E01B8"/>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locked/>
    <w:rsid w:val="000E01B8"/>
    <w:rPr>
      <w:rFonts w:eastAsia="Times New Roman" w:cs="Times New Roman"/>
      <w:sz w:val="20"/>
      <w:szCs w:val="20"/>
      <w:lang w:val="fr-FR"/>
    </w:rPr>
  </w:style>
  <w:style w:type="paragraph" w:styleId="FootnoteText">
    <w:name w:val="footnote text"/>
    <w:basedOn w:val="Normal"/>
    <w:link w:val="FootnoteTextChar"/>
    <w:autoRedefine/>
    <w:uiPriority w:val="99"/>
    <w:semiHidden/>
    <w:rsid w:val="000E01B8"/>
    <w:pPr>
      <w:spacing w:before="0" w:after="0" w:line="240" w:lineRule="auto"/>
      <w:ind w:left="720" w:hanging="720"/>
    </w:pPr>
  </w:style>
  <w:style w:type="character" w:customStyle="1" w:styleId="FootnoteTextChar">
    <w:name w:val="Footnote Text Char"/>
    <w:basedOn w:val="DefaultParagraphFont"/>
    <w:link w:val="FootnoteText"/>
    <w:uiPriority w:val="99"/>
    <w:semiHidden/>
    <w:locked/>
    <w:rsid w:val="000E01B8"/>
    <w:rPr>
      <w:rFonts w:eastAsia="Times New Roman" w:cs="Times New Roman"/>
      <w:sz w:val="20"/>
      <w:szCs w:val="20"/>
      <w:lang w:val="fr-FR"/>
    </w:rPr>
  </w:style>
  <w:style w:type="paragraph" w:styleId="ListBullet">
    <w:name w:val="List Bullet"/>
    <w:basedOn w:val="Normal"/>
    <w:uiPriority w:val="99"/>
    <w:rsid w:val="000E01B8"/>
    <w:pPr>
      <w:numPr>
        <w:numId w:val="23"/>
      </w:numPr>
    </w:pPr>
  </w:style>
  <w:style w:type="paragraph" w:styleId="ListBullet2">
    <w:name w:val="List Bullet 2"/>
    <w:basedOn w:val="Normal"/>
    <w:uiPriority w:val="99"/>
    <w:rsid w:val="000E01B8"/>
    <w:pPr>
      <w:numPr>
        <w:numId w:val="25"/>
      </w:numPr>
    </w:pPr>
  </w:style>
  <w:style w:type="paragraph" w:styleId="ListBullet3">
    <w:name w:val="List Bullet 3"/>
    <w:basedOn w:val="Normal"/>
    <w:uiPriority w:val="99"/>
    <w:rsid w:val="000E01B8"/>
    <w:pPr>
      <w:numPr>
        <w:numId w:val="26"/>
      </w:numPr>
    </w:pPr>
  </w:style>
  <w:style w:type="paragraph" w:styleId="ListBullet4">
    <w:name w:val="List Bullet 4"/>
    <w:basedOn w:val="Normal"/>
    <w:uiPriority w:val="99"/>
    <w:rsid w:val="000E01B8"/>
    <w:pPr>
      <w:numPr>
        <w:numId w:val="27"/>
      </w:numPr>
    </w:pPr>
  </w:style>
  <w:style w:type="paragraph" w:styleId="ListNumber">
    <w:name w:val="List Number"/>
    <w:basedOn w:val="Normal"/>
    <w:uiPriority w:val="99"/>
    <w:rsid w:val="000E01B8"/>
    <w:pPr>
      <w:numPr>
        <w:numId w:val="33"/>
      </w:numPr>
    </w:pPr>
  </w:style>
  <w:style w:type="paragraph" w:styleId="ListNumber2">
    <w:name w:val="List Number 2"/>
    <w:basedOn w:val="Normal"/>
    <w:uiPriority w:val="99"/>
    <w:rsid w:val="000E01B8"/>
    <w:pPr>
      <w:numPr>
        <w:numId w:val="35"/>
      </w:numPr>
    </w:pPr>
  </w:style>
  <w:style w:type="paragraph" w:styleId="ListNumber3">
    <w:name w:val="List Number 3"/>
    <w:basedOn w:val="Normal"/>
    <w:uiPriority w:val="99"/>
    <w:rsid w:val="000E01B8"/>
    <w:pPr>
      <w:numPr>
        <w:numId w:val="36"/>
      </w:numPr>
    </w:pPr>
  </w:style>
  <w:style w:type="paragraph" w:styleId="ListNumber4">
    <w:name w:val="List Number 4"/>
    <w:basedOn w:val="Normal"/>
    <w:uiPriority w:val="99"/>
    <w:rsid w:val="000E01B8"/>
    <w:pPr>
      <w:numPr>
        <w:numId w:val="37"/>
      </w:numPr>
    </w:pPr>
  </w:style>
  <w:style w:type="paragraph" w:styleId="TOC1">
    <w:name w:val="toc 1"/>
    <w:basedOn w:val="Normal"/>
    <w:next w:val="Normal"/>
    <w:uiPriority w:val="99"/>
    <w:semiHidden/>
    <w:rsid w:val="000E01B8"/>
    <w:pPr>
      <w:tabs>
        <w:tab w:val="right" w:leader="dot" w:pos="9071"/>
      </w:tabs>
      <w:spacing w:before="60"/>
      <w:ind w:left="850" w:hanging="850"/>
    </w:pPr>
  </w:style>
  <w:style w:type="paragraph" w:styleId="TOC2">
    <w:name w:val="toc 2"/>
    <w:basedOn w:val="Normal"/>
    <w:next w:val="Normal"/>
    <w:uiPriority w:val="99"/>
    <w:semiHidden/>
    <w:rsid w:val="000E01B8"/>
    <w:pPr>
      <w:tabs>
        <w:tab w:val="right" w:leader="dot" w:pos="9071"/>
      </w:tabs>
      <w:spacing w:before="60"/>
      <w:ind w:left="850" w:hanging="850"/>
    </w:pPr>
  </w:style>
  <w:style w:type="paragraph" w:styleId="TOC3">
    <w:name w:val="toc 3"/>
    <w:basedOn w:val="Normal"/>
    <w:next w:val="Normal"/>
    <w:uiPriority w:val="99"/>
    <w:semiHidden/>
    <w:rsid w:val="000E01B8"/>
    <w:pPr>
      <w:tabs>
        <w:tab w:val="right" w:leader="dot" w:pos="9071"/>
      </w:tabs>
      <w:spacing w:before="60"/>
      <w:ind w:left="850" w:hanging="850"/>
    </w:pPr>
  </w:style>
  <w:style w:type="paragraph" w:styleId="TOC4">
    <w:name w:val="toc 4"/>
    <w:basedOn w:val="Normal"/>
    <w:next w:val="Normal"/>
    <w:uiPriority w:val="99"/>
    <w:semiHidden/>
    <w:rsid w:val="000E01B8"/>
    <w:pPr>
      <w:tabs>
        <w:tab w:val="right" w:leader="dot" w:pos="9071"/>
      </w:tabs>
      <w:spacing w:before="60"/>
      <w:ind w:left="850" w:hanging="850"/>
    </w:pPr>
  </w:style>
  <w:style w:type="paragraph" w:styleId="TOC5">
    <w:name w:val="toc 5"/>
    <w:basedOn w:val="Normal"/>
    <w:next w:val="Normal"/>
    <w:uiPriority w:val="99"/>
    <w:semiHidden/>
    <w:rsid w:val="000E01B8"/>
    <w:pPr>
      <w:tabs>
        <w:tab w:val="right" w:leader="dot" w:pos="9071"/>
      </w:tabs>
      <w:spacing w:before="300"/>
    </w:pPr>
  </w:style>
  <w:style w:type="paragraph" w:styleId="TOC6">
    <w:name w:val="toc 6"/>
    <w:basedOn w:val="Normal"/>
    <w:next w:val="Normal"/>
    <w:uiPriority w:val="99"/>
    <w:semiHidden/>
    <w:rsid w:val="000E01B8"/>
    <w:pPr>
      <w:tabs>
        <w:tab w:val="right" w:leader="dot" w:pos="9071"/>
      </w:tabs>
      <w:spacing w:before="240"/>
    </w:pPr>
  </w:style>
  <w:style w:type="paragraph" w:styleId="TOC7">
    <w:name w:val="toc 7"/>
    <w:basedOn w:val="Normal"/>
    <w:next w:val="Normal"/>
    <w:uiPriority w:val="99"/>
    <w:semiHidden/>
    <w:rsid w:val="000E01B8"/>
    <w:pPr>
      <w:tabs>
        <w:tab w:val="right" w:leader="dot" w:pos="9071"/>
      </w:tabs>
      <w:spacing w:before="180"/>
    </w:pPr>
  </w:style>
  <w:style w:type="paragraph" w:styleId="TOC8">
    <w:name w:val="toc 8"/>
    <w:basedOn w:val="Normal"/>
    <w:next w:val="Normal"/>
    <w:uiPriority w:val="99"/>
    <w:semiHidden/>
    <w:rsid w:val="000E01B8"/>
    <w:pPr>
      <w:tabs>
        <w:tab w:val="right" w:leader="dot" w:pos="9071"/>
      </w:tabs>
    </w:pPr>
  </w:style>
  <w:style w:type="paragraph" w:styleId="TOC9">
    <w:name w:val="toc 9"/>
    <w:basedOn w:val="Normal"/>
    <w:next w:val="Normal"/>
    <w:uiPriority w:val="99"/>
    <w:semiHidden/>
    <w:rsid w:val="000E01B8"/>
    <w:pPr>
      <w:tabs>
        <w:tab w:val="right" w:leader="dot" w:pos="9071"/>
      </w:tabs>
    </w:pPr>
  </w:style>
  <w:style w:type="paragraph" w:customStyle="1" w:styleId="HeaderLandscape">
    <w:name w:val="HeaderLandscape"/>
    <w:basedOn w:val="Normal"/>
    <w:uiPriority w:val="99"/>
    <w:rsid w:val="000E01B8"/>
    <w:pPr>
      <w:tabs>
        <w:tab w:val="right" w:pos="14570"/>
      </w:tabs>
    </w:pPr>
  </w:style>
  <w:style w:type="paragraph" w:customStyle="1" w:styleId="FooterLandscape">
    <w:name w:val="FooterLandscape"/>
    <w:basedOn w:val="Normal"/>
    <w:uiPriority w:val="99"/>
    <w:rsid w:val="000E01B8"/>
    <w:pPr>
      <w:tabs>
        <w:tab w:val="center" w:pos="7285"/>
        <w:tab w:val="center" w:pos="10930"/>
        <w:tab w:val="right" w:pos="14570"/>
      </w:tabs>
      <w:spacing w:before="0" w:after="0" w:line="240" w:lineRule="auto"/>
    </w:pPr>
  </w:style>
  <w:style w:type="character" w:styleId="FootnoteReference">
    <w:name w:val="footnote reference"/>
    <w:aliases w:val="Footnote Reference Superscript"/>
    <w:basedOn w:val="DefaultParagraphFont"/>
    <w:uiPriority w:val="99"/>
    <w:semiHidden/>
    <w:rsid w:val="000E01B8"/>
    <w:rPr>
      <w:rFonts w:cs="Times New Roman"/>
      <w:b/>
      <w:vertAlign w:val="superscript"/>
    </w:rPr>
  </w:style>
  <w:style w:type="paragraph" w:customStyle="1" w:styleId="Text1">
    <w:name w:val="Text 1"/>
    <w:basedOn w:val="Normal"/>
    <w:uiPriority w:val="99"/>
    <w:rsid w:val="000E01B8"/>
    <w:pPr>
      <w:ind w:left="850"/>
    </w:pPr>
  </w:style>
  <w:style w:type="paragraph" w:customStyle="1" w:styleId="Text2">
    <w:name w:val="Text 2"/>
    <w:basedOn w:val="Normal"/>
    <w:uiPriority w:val="99"/>
    <w:rsid w:val="000E01B8"/>
    <w:pPr>
      <w:ind w:left="850"/>
    </w:pPr>
  </w:style>
  <w:style w:type="paragraph" w:customStyle="1" w:styleId="Text3">
    <w:name w:val="Text 3"/>
    <w:basedOn w:val="Normal"/>
    <w:uiPriority w:val="99"/>
    <w:rsid w:val="000E01B8"/>
    <w:pPr>
      <w:ind w:left="850"/>
    </w:pPr>
  </w:style>
  <w:style w:type="paragraph" w:customStyle="1" w:styleId="Text4">
    <w:name w:val="Text 4"/>
    <w:basedOn w:val="Normal"/>
    <w:uiPriority w:val="99"/>
    <w:rsid w:val="000E01B8"/>
    <w:pPr>
      <w:ind w:left="850"/>
    </w:pPr>
  </w:style>
  <w:style w:type="paragraph" w:customStyle="1" w:styleId="NormalCentered">
    <w:name w:val="Normal Centered"/>
    <w:basedOn w:val="Normal"/>
    <w:uiPriority w:val="99"/>
    <w:rsid w:val="000E01B8"/>
    <w:pPr>
      <w:jc w:val="center"/>
    </w:pPr>
  </w:style>
  <w:style w:type="paragraph" w:customStyle="1" w:styleId="NormalLeft">
    <w:name w:val="Normal Left"/>
    <w:basedOn w:val="Normal"/>
    <w:uiPriority w:val="99"/>
    <w:rsid w:val="000E01B8"/>
  </w:style>
  <w:style w:type="paragraph" w:customStyle="1" w:styleId="NormalRight">
    <w:name w:val="Normal Right"/>
    <w:basedOn w:val="Normal"/>
    <w:uiPriority w:val="99"/>
    <w:rsid w:val="000E01B8"/>
    <w:pPr>
      <w:jc w:val="right"/>
    </w:pPr>
  </w:style>
  <w:style w:type="paragraph" w:customStyle="1" w:styleId="QuotedText">
    <w:name w:val="Quoted Text"/>
    <w:basedOn w:val="Normal"/>
    <w:uiPriority w:val="99"/>
    <w:rsid w:val="000E01B8"/>
    <w:pPr>
      <w:ind w:left="1417"/>
    </w:pPr>
  </w:style>
  <w:style w:type="paragraph" w:customStyle="1" w:styleId="Point0">
    <w:name w:val="Point 0"/>
    <w:basedOn w:val="Normal"/>
    <w:uiPriority w:val="99"/>
    <w:rsid w:val="000E01B8"/>
    <w:pPr>
      <w:ind w:left="850" w:hanging="850"/>
    </w:pPr>
  </w:style>
  <w:style w:type="paragraph" w:customStyle="1" w:styleId="Point1">
    <w:name w:val="Point 1"/>
    <w:basedOn w:val="Normal"/>
    <w:uiPriority w:val="99"/>
    <w:rsid w:val="000E01B8"/>
    <w:pPr>
      <w:ind w:left="1417" w:hanging="567"/>
    </w:pPr>
  </w:style>
  <w:style w:type="paragraph" w:customStyle="1" w:styleId="Point2">
    <w:name w:val="Point 2"/>
    <w:basedOn w:val="Normal"/>
    <w:uiPriority w:val="99"/>
    <w:rsid w:val="000E01B8"/>
    <w:pPr>
      <w:ind w:left="1984" w:hanging="567"/>
    </w:pPr>
  </w:style>
  <w:style w:type="paragraph" w:customStyle="1" w:styleId="Point3">
    <w:name w:val="Point 3"/>
    <w:basedOn w:val="Normal"/>
    <w:uiPriority w:val="99"/>
    <w:rsid w:val="000E01B8"/>
    <w:pPr>
      <w:ind w:left="2551" w:hanging="567"/>
    </w:pPr>
  </w:style>
  <w:style w:type="paragraph" w:customStyle="1" w:styleId="Point4">
    <w:name w:val="Point 4"/>
    <w:basedOn w:val="Normal"/>
    <w:uiPriority w:val="99"/>
    <w:rsid w:val="000E01B8"/>
    <w:pPr>
      <w:ind w:left="3118" w:hanging="567"/>
    </w:pPr>
  </w:style>
  <w:style w:type="paragraph" w:customStyle="1" w:styleId="Tiret0">
    <w:name w:val="Tiret 0"/>
    <w:basedOn w:val="Point0"/>
    <w:uiPriority w:val="99"/>
    <w:rsid w:val="000E01B8"/>
    <w:pPr>
      <w:numPr>
        <w:numId w:val="16"/>
      </w:numPr>
    </w:pPr>
  </w:style>
  <w:style w:type="paragraph" w:customStyle="1" w:styleId="Tiret1">
    <w:name w:val="Tiret 1"/>
    <w:basedOn w:val="Point1"/>
    <w:uiPriority w:val="99"/>
    <w:rsid w:val="000E01B8"/>
    <w:pPr>
      <w:numPr>
        <w:numId w:val="17"/>
      </w:numPr>
    </w:pPr>
  </w:style>
  <w:style w:type="paragraph" w:customStyle="1" w:styleId="Tiret2">
    <w:name w:val="Tiret 2"/>
    <w:basedOn w:val="Point2"/>
    <w:uiPriority w:val="99"/>
    <w:rsid w:val="000E01B8"/>
    <w:pPr>
      <w:numPr>
        <w:numId w:val="18"/>
      </w:numPr>
    </w:pPr>
  </w:style>
  <w:style w:type="paragraph" w:customStyle="1" w:styleId="Tiret3">
    <w:name w:val="Tiret 3"/>
    <w:basedOn w:val="Point3"/>
    <w:uiPriority w:val="99"/>
    <w:rsid w:val="000E01B8"/>
    <w:pPr>
      <w:numPr>
        <w:numId w:val="19"/>
      </w:numPr>
    </w:pPr>
  </w:style>
  <w:style w:type="paragraph" w:customStyle="1" w:styleId="Tiret4">
    <w:name w:val="Tiret 4"/>
    <w:basedOn w:val="Point4"/>
    <w:uiPriority w:val="99"/>
    <w:rsid w:val="000E01B8"/>
    <w:pPr>
      <w:numPr>
        <w:numId w:val="20"/>
      </w:numPr>
    </w:pPr>
  </w:style>
  <w:style w:type="paragraph" w:customStyle="1" w:styleId="PointDouble0">
    <w:name w:val="PointDouble 0"/>
    <w:basedOn w:val="Normal"/>
    <w:uiPriority w:val="99"/>
    <w:rsid w:val="000E01B8"/>
    <w:pPr>
      <w:tabs>
        <w:tab w:val="left" w:pos="850"/>
      </w:tabs>
      <w:ind w:left="1417" w:hanging="1417"/>
    </w:pPr>
  </w:style>
  <w:style w:type="paragraph" w:customStyle="1" w:styleId="PointDouble1">
    <w:name w:val="PointDouble 1"/>
    <w:basedOn w:val="Normal"/>
    <w:uiPriority w:val="99"/>
    <w:rsid w:val="000E01B8"/>
    <w:pPr>
      <w:tabs>
        <w:tab w:val="left" w:pos="1417"/>
      </w:tabs>
      <w:ind w:left="1984" w:hanging="1134"/>
    </w:pPr>
  </w:style>
  <w:style w:type="paragraph" w:customStyle="1" w:styleId="PointDouble2">
    <w:name w:val="PointDouble 2"/>
    <w:basedOn w:val="Normal"/>
    <w:uiPriority w:val="99"/>
    <w:rsid w:val="000E01B8"/>
    <w:pPr>
      <w:tabs>
        <w:tab w:val="left" w:pos="1984"/>
      </w:tabs>
      <w:ind w:left="2551" w:hanging="1134"/>
    </w:pPr>
  </w:style>
  <w:style w:type="paragraph" w:customStyle="1" w:styleId="PointDouble3">
    <w:name w:val="PointDouble 3"/>
    <w:basedOn w:val="Normal"/>
    <w:uiPriority w:val="99"/>
    <w:rsid w:val="000E01B8"/>
    <w:pPr>
      <w:tabs>
        <w:tab w:val="left" w:pos="2551"/>
      </w:tabs>
      <w:ind w:left="3118" w:hanging="1134"/>
    </w:pPr>
  </w:style>
  <w:style w:type="paragraph" w:customStyle="1" w:styleId="PointDouble4">
    <w:name w:val="PointDouble 4"/>
    <w:basedOn w:val="Normal"/>
    <w:uiPriority w:val="99"/>
    <w:rsid w:val="000E01B8"/>
    <w:pPr>
      <w:tabs>
        <w:tab w:val="left" w:pos="3118"/>
      </w:tabs>
      <w:ind w:left="3685" w:hanging="1134"/>
    </w:pPr>
  </w:style>
  <w:style w:type="paragraph" w:customStyle="1" w:styleId="PointTriple0">
    <w:name w:val="PointTriple 0"/>
    <w:basedOn w:val="Normal"/>
    <w:uiPriority w:val="99"/>
    <w:rsid w:val="000E01B8"/>
    <w:pPr>
      <w:tabs>
        <w:tab w:val="left" w:pos="850"/>
        <w:tab w:val="left" w:pos="1417"/>
      </w:tabs>
      <w:ind w:left="1984" w:hanging="1984"/>
    </w:pPr>
  </w:style>
  <w:style w:type="paragraph" w:customStyle="1" w:styleId="PointTriple1">
    <w:name w:val="PointTriple 1"/>
    <w:basedOn w:val="Normal"/>
    <w:uiPriority w:val="99"/>
    <w:rsid w:val="000E01B8"/>
    <w:pPr>
      <w:tabs>
        <w:tab w:val="left" w:pos="1417"/>
        <w:tab w:val="left" w:pos="1984"/>
      </w:tabs>
      <w:ind w:left="2551" w:hanging="1701"/>
    </w:pPr>
  </w:style>
  <w:style w:type="paragraph" w:customStyle="1" w:styleId="PointTriple2">
    <w:name w:val="PointTriple 2"/>
    <w:basedOn w:val="Normal"/>
    <w:uiPriority w:val="99"/>
    <w:rsid w:val="000E01B8"/>
    <w:pPr>
      <w:tabs>
        <w:tab w:val="left" w:pos="1984"/>
        <w:tab w:val="left" w:pos="2551"/>
      </w:tabs>
      <w:ind w:left="3118" w:hanging="1701"/>
    </w:pPr>
  </w:style>
  <w:style w:type="paragraph" w:customStyle="1" w:styleId="PointTriple3">
    <w:name w:val="PointTriple 3"/>
    <w:basedOn w:val="Normal"/>
    <w:uiPriority w:val="99"/>
    <w:rsid w:val="000E01B8"/>
    <w:pPr>
      <w:tabs>
        <w:tab w:val="left" w:pos="2551"/>
        <w:tab w:val="left" w:pos="3118"/>
      </w:tabs>
      <w:ind w:left="3685" w:hanging="1701"/>
    </w:pPr>
  </w:style>
  <w:style w:type="paragraph" w:customStyle="1" w:styleId="PointTriple4">
    <w:name w:val="PointTriple 4"/>
    <w:basedOn w:val="Normal"/>
    <w:uiPriority w:val="99"/>
    <w:rsid w:val="000E01B8"/>
    <w:pPr>
      <w:tabs>
        <w:tab w:val="left" w:pos="3118"/>
        <w:tab w:val="left" w:pos="3685"/>
      </w:tabs>
      <w:ind w:left="4252" w:hanging="1701"/>
    </w:pPr>
  </w:style>
  <w:style w:type="paragraph" w:customStyle="1" w:styleId="NumPar1">
    <w:name w:val="NumPar 1"/>
    <w:basedOn w:val="Normal"/>
    <w:next w:val="Text1"/>
    <w:uiPriority w:val="99"/>
    <w:rsid w:val="000E01B8"/>
    <w:pPr>
      <w:numPr>
        <w:numId w:val="21"/>
      </w:numPr>
    </w:pPr>
  </w:style>
  <w:style w:type="paragraph" w:customStyle="1" w:styleId="NumPar2">
    <w:name w:val="NumPar 2"/>
    <w:basedOn w:val="Normal"/>
    <w:next w:val="Text2"/>
    <w:uiPriority w:val="99"/>
    <w:rsid w:val="000E01B8"/>
    <w:pPr>
      <w:numPr>
        <w:ilvl w:val="1"/>
        <w:numId w:val="21"/>
      </w:numPr>
    </w:pPr>
  </w:style>
  <w:style w:type="paragraph" w:customStyle="1" w:styleId="NumPar3">
    <w:name w:val="NumPar 3"/>
    <w:basedOn w:val="Normal"/>
    <w:next w:val="Text3"/>
    <w:uiPriority w:val="99"/>
    <w:rsid w:val="000E01B8"/>
    <w:pPr>
      <w:numPr>
        <w:ilvl w:val="2"/>
        <w:numId w:val="21"/>
      </w:numPr>
    </w:pPr>
  </w:style>
  <w:style w:type="paragraph" w:customStyle="1" w:styleId="NumPar4">
    <w:name w:val="NumPar 4"/>
    <w:basedOn w:val="Normal"/>
    <w:next w:val="Text4"/>
    <w:uiPriority w:val="99"/>
    <w:rsid w:val="000E01B8"/>
    <w:pPr>
      <w:numPr>
        <w:ilvl w:val="3"/>
        <w:numId w:val="21"/>
      </w:numPr>
    </w:pPr>
  </w:style>
  <w:style w:type="paragraph" w:customStyle="1" w:styleId="ManualNumPar1">
    <w:name w:val="Manual NumPar 1"/>
    <w:basedOn w:val="Normal"/>
    <w:next w:val="Text1"/>
    <w:uiPriority w:val="99"/>
    <w:rsid w:val="000E01B8"/>
    <w:pPr>
      <w:ind w:left="850" w:hanging="850"/>
    </w:pPr>
  </w:style>
  <w:style w:type="paragraph" w:customStyle="1" w:styleId="ManualNumPar2">
    <w:name w:val="Manual NumPar 2"/>
    <w:basedOn w:val="Normal"/>
    <w:next w:val="Text2"/>
    <w:uiPriority w:val="99"/>
    <w:rsid w:val="000E01B8"/>
    <w:pPr>
      <w:ind w:left="850" w:hanging="850"/>
    </w:pPr>
  </w:style>
  <w:style w:type="paragraph" w:customStyle="1" w:styleId="ManualNumPar3">
    <w:name w:val="Manual NumPar 3"/>
    <w:basedOn w:val="Normal"/>
    <w:next w:val="Text3"/>
    <w:uiPriority w:val="99"/>
    <w:rsid w:val="000E01B8"/>
    <w:pPr>
      <w:ind w:left="850" w:hanging="850"/>
    </w:pPr>
  </w:style>
  <w:style w:type="paragraph" w:customStyle="1" w:styleId="ManualNumPar4">
    <w:name w:val="Manual NumPar 4"/>
    <w:basedOn w:val="Normal"/>
    <w:next w:val="Text4"/>
    <w:uiPriority w:val="99"/>
    <w:rsid w:val="000E01B8"/>
    <w:pPr>
      <w:ind w:left="850" w:hanging="850"/>
    </w:pPr>
  </w:style>
  <w:style w:type="paragraph" w:customStyle="1" w:styleId="QuotedNumPar">
    <w:name w:val="Quoted NumPar"/>
    <w:basedOn w:val="Normal"/>
    <w:uiPriority w:val="99"/>
    <w:rsid w:val="000E01B8"/>
    <w:pPr>
      <w:ind w:left="1417" w:hanging="567"/>
    </w:pPr>
  </w:style>
  <w:style w:type="paragraph" w:customStyle="1" w:styleId="ManualHeading1">
    <w:name w:val="Manual Heading 1"/>
    <w:basedOn w:val="Normal"/>
    <w:next w:val="Text1"/>
    <w:uiPriority w:val="99"/>
    <w:rsid w:val="000E01B8"/>
    <w:pPr>
      <w:keepNext/>
      <w:tabs>
        <w:tab w:val="left" w:pos="850"/>
      </w:tabs>
      <w:spacing w:before="360"/>
      <w:ind w:left="850" w:hanging="850"/>
      <w:outlineLvl w:val="0"/>
    </w:pPr>
    <w:rPr>
      <w:b/>
      <w:smallCaps/>
    </w:rPr>
  </w:style>
  <w:style w:type="paragraph" w:customStyle="1" w:styleId="ManualHeading2">
    <w:name w:val="Manual Heading 2"/>
    <w:basedOn w:val="Normal"/>
    <w:next w:val="Text2"/>
    <w:uiPriority w:val="99"/>
    <w:rsid w:val="000E01B8"/>
    <w:pPr>
      <w:keepNext/>
      <w:tabs>
        <w:tab w:val="left" w:pos="850"/>
      </w:tabs>
      <w:ind w:left="850" w:hanging="850"/>
      <w:outlineLvl w:val="1"/>
    </w:pPr>
    <w:rPr>
      <w:b/>
    </w:rPr>
  </w:style>
  <w:style w:type="paragraph" w:customStyle="1" w:styleId="ManualHeading3">
    <w:name w:val="Manual Heading 3"/>
    <w:basedOn w:val="Normal"/>
    <w:next w:val="Text3"/>
    <w:uiPriority w:val="99"/>
    <w:rsid w:val="000E01B8"/>
    <w:pPr>
      <w:keepNext/>
      <w:tabs>
        <w:tab w:val="left" w:pos="850"/>
      </w:tabs>
      <w:ind w:left="850" w:hanging="850"/>
      <w:outlineLvl w:val="2"/>
    </w:pPr>
    <w:rPr>
      <w:i/>
    </w:rPr>
  </w:style>
  <w:style w:type="paragraph" w:customStyle="1" w:styleId="ManualHeading4">
    <w:name w:val="Manual Heading 4"/>
    <w:basedOn w:val="Normal"/>
    <w:next w:val="Text4"/>
    <w:uiPriority w:val="99"/>
    <w:rsid w:val="000E01B8"/>
    <w:pPr>
      <w:keepNext/>
      <w:tabs>
        <w:tab w:val="left" w:pos="850"/>
      </w:tabs>
      <w:ind w:left="850" w:hanging="850"/>
      <w:outlineLvl w:val="3"/>
    </w:pPr>
  </w:style>
  <w:style w:type="paragraph" w:customStyle="1" w:styleId="ChapterTitle">
    <w:name w:val="ChapterTitle"/>
    <w:basedOn w:val="Normal"/>
    <w:next w:val="Normal"/>
    <w:uiPriority w:val="99"/>
    <w:rsid w:val="000E01B8"/>
    <w:pPr>
      <w:keepNext/>
      <w:spacing w:after="360"/>
      <w:jc w:val="center"/>
    </w:pPr>
    <w:rPr>
      <w:b/>
      <w:sz w:val="32"/>
    </w:rPr>
  </w:style>
  <w:style w:type="paragraph" w:customStyle="1" w:styleId="PartTitle">
    <w:name w:val="PartTitle"/>
    <w:basedOn w:val="Normal"/>
    <w:next w:val="ChapterTitle"/>
    <w:uiPriority w:val="99"/>
    <w:rsid w:val="000E01B8"/>
    <w:pPr>
      <w:keepNext/>
      <w:pageBreakBefore/>
      <w:spacing w:after="360"/>
      <w:jc w:val="center"/>
    </w:pPr>
    <w:rPr>
      <w:b/>
      <w:sz w:val="36"/>
    </w:rPr>
  </w:style>
  <w:style w:type="paragraph" w:customStyle="1" w:styleId="SectionTitle">
    <w:name w:val="SectionTitle"/>
    <w:basedOn w:val="Normal"/>
    <w:next w:val="Heading1"/>
    <w:uiPriority w:val="99"/>
    <w:rsid w:val="000E01B8"/>
    <w:pPr>
      <w:keepNext/>
      <w:spacing w:after="360"/>
      <w:jc w:val="center"/>
    </w:pPr>
    <w:rPr>
      <w:b/>
      <w:smallCaps/>
      <w:sz w:val="28"/>
    </w:rPr>
  </w:style>
  <w:style w:type="paragraph" w:customStyle="1" w:styleId="ListBullet1">
    <w:name w:val="List Bullet 1"/>
    <w:basedOn w:val="Normal"/>
    <w:uiPriority w:val="99"/>
    <w:rsid w:val="000E01B8"/>
    <w:pPr>
      <w:numPr>
        <w:numId w:val="24"/>
      </w:numPr>
    </w:pPr>
  </w:style>
  <w:style w:type="paragraph" w:customStyle="1" w:styleId="ListDash">
    <w:name w:val="List Dash"/>
    <w:basedOn w:val="Normal"/>
    <w:uiPriority w:val="99"/>
    <w:rsid w:val="000E01B8"/>
    <w:pPr>
      <w:numPr>
        <w:numId w:val="28"/>
      </w:numPr>
    </w:pPr>
  </w:style>
  <w:style w:type="paragraph" w:customStyle="1" w:styleId="ListDash1">
    <w:name w:val="List Dash 1"/>
    <w:basedOn w:val="Normal"/>
    <w:uiPriority w:val="99"/>
    <w:rsid w:val="000E01B8"/>
    <w:pPr>
      <w:numPr>
        <w:numId w:val="29"/>
      </w:numPr>
    </w:pPr>
  </w:style>
  <w:style w:type="paragraph" w:customStyle="1" w:styleId="ListDash2">
    <w:name w:val="List Dash 2"/>
    <w:basedOn w:val="Normal"/>
    <w:uiPriority w:val="99"/>
    <w:rsid w:val="000E01B8"/>
    <w:pPr>
      <w:numPr>
        <w:numId w:val="30"/>
      </w:numPr>
    </w:pPr>
  </w:style>
  <w:style w:type="paragraph" w:customStyle="1" w:styleId="ListDash3">
    <w:name w:val="List Dash 3"/>
    <w:basedOn w:val="Normal"/>
    <w:uiPriority w:val="99"/>
    <w:rsid w:val="000E01B8"/>
    <w:pPr>
      <w:numPr>
        <w:numId w:val="31"/>
      </w:numPr>
    </w:pPr>
  </w:style>
  <w:style w:type="paragraph" w:customStyle="1" w:styleId="ListDash4">
    <w:name w:val="List Dash 4"/>
    <w:basedOn w:val="Normal"/>
    <w:uiPriority w:val="99"/>
    <w:rsid w:val="000E01B8"/>
    <w:pPr>
      <w:numPr>
        <w:numId w:val="32"/>
      </w:numPr>
    </w:pPr>
  </w:style>
  <w:style w:type="paragraph" w:customStyle="1" w:styleId="ListNumber1">
    <w:name w:val="List Number 1"/>
    <w:basedOn w:val="Text1"/>
    <w:uiPriority w:val="99"/>
    <w:rsid w:val="000E01B8"/>
    <w:pPr>
      <w:numPr>
        <w:numId w:val="34"/>
      </w:numPr>
    </w:pPr>
  </w:style>
  <w:style w:type="paragraph" w:customStyle="1" w:styleId="ListNumberLevel2">
    <w:name w:val="List Number (Level 2)"/>
    <w:basedOn w:val="Normal"/>
    <w:uiPriority w:val="99"/>
    <w:rsid w:val="000E01B8"/>
    <w:pPr>
      <w:numPr>
        <w:ilvl w:val="1"/>
        <w:numId w:val="33"/>
      </w:numPr>
    </w:pPr>
  </w:style>
  <w:style w:type="paragraph" w:customStyle="1" w:styleId="ListNumber1Level2">
    <w:name w:val="List Number 1 (Level 2)"/>
    <w:basedOn w:val="Text1"/>
    <w:uiPriority w:val="99"/>
    <w:rsid w:val="000E01B8"/>
    <w:pPr>
      <w:numPr>
        <w:ilvl w:val="1"/>
        <w:numId w:val="34"/>
      </w:numPr>
    </w:pPr>
  </w:style>
  <w:style w:type="paragraph" w:customStyle="1" w:styleId="ListNumber2Level2">
    <w:name w:val="List Number 2 (Level 2)"/>
    <w:basedOn w:val="Text2"/>
    <w:uiPriority w:val="99"/>
    <w:rsid w:val="000E01B8"/>
    <w:pPr>
      <w:numPr>
        <w:ilvl w:val="1"/>
        <w:numId w:val="35"/>
      </w:numPr>
    </w:pPr>
  </w:style>
  <w:style w:type="paragraph" w:customStyle="1" w:styleId="ListNumber3Level2">
    <w:name w:val="List Number 3 (Level 2)"/>
    <w:basedOn w:val="Text3"/>
    <w:uiPriority w:val="99"/>
    <w:rsid w:val="000E01B8"/>
    <w:pPr>
      <w:numPr>
        <w:ilvl w:val="1"/>
        <w:numId w:val="36"/>
      </w:numPr>
    </w:pPr>
  </w:style>
  <w:style w:type="paragraph" w:customStyle="1" w:styleId="ListNumber4Level2">
    <w:name w:val="List Number 4 (Level 2)"/>
    <w:basedOn w:val="Text4"/>
    <w:uiPriority w:val="99"/>
    <w:rsid w:val="000E01B8"/>
    <w:pPr>
      <w:numPr>
        <w:ilvl w:val="1"/>
        <w:numId w:val="37"/>
      </w:numPr>
    </w:pPr>
  </w:style>
  <w:style w:type="paragraph" w:customStyle="1" w:styleId="ListNumberLevel3">
    <w:name w:val="List Number (Level 3)"/>
    <w:basedOn w:val="Normal"/>
    <w:uiPriority w:val="99"/>
    <w:rsid w:val="000E01B8"/>
    <w:pPr>
      <w:numPr>
        <w:ilvl w:val="2"/>
        <w:numId w:val="33"/>
      </w:numPr>
    </w:pPr>
  </w:style>
  <w:style w:type="paragraph" w:customStyle="1" w:styleId="ListNumber1Level3">
    <w:name w:val="List Number 1 (Level 3)"/>
    <w:basedOn w:val="Text1"/>
    <w:uiPriority w:val="99"/>
    <w:rsid w:val="000E01B8"/>
    <w:pPr>
      <w:numPr>
        <w:ilvl w:val="2"/>
        <w:numId w:val="34"/>
      </w:numPr>
    </w:pPr>
  </w:style>
  <w:style w:type="paragraph" w:customStyle="1" w:styleId="ListNumber2Level3">
    <w:name w:val="List Number 2 (Level 3)"/>
    <w:basedOn w:val="Text2"/>
    <w:uiPriority w:val="99"/>
    <w:rsid w:val="000E01B8"/>
    <w:pPr>
      <w:numPr>
        <w:ilvl w:val="2"/>
        <w:numId w:val="35"/>
      </w:numPr>
    </w:pPr>
  </w:style>
  <w:style w:type="paragraph" w:customStyle="1" w:styleId="ListNumber3Level3">
    <w:name w:val="List Number 3 (Level 3)"/>
    <w:basedOn w:val="Text3"/>
    <w:uiPriority w:val="99"/>
    <w:rsid w:val="000E01B8"/>
    <w:pPr>
      <w:numPr>
        <w:ilvl w:val="2"/>
        <w:numId w:val="36"/>
      </w:numPr>
    </w:pPr>
  </w:style>
  <w:style w:type="paragraph" w:customStyle="1" w:styleId="ListNumber4Level3">
    <w:name w:val="List Number 4 (Level 3)"/>
    <w:basedOn w:val="Text4"/>
    <w:uiPriority w:val="99"/>
    <w:rsid w:val="000E01B8"/>
    <w:pPr>
      <w:numPr>
        <w:ilvl w:val="2"/>
        <w:numId w:val="37"/>
      </w:numPr>
    </w:pPr>
  </w:style>
  <w:style w:type="paragraph" w:customStyle="1" w:styleId="ListNumberLevel4">
    <w:name w:val="List Number (Level 4)"/>
    <w:basedOn w:val="Normal"/>
    <w:uiPriority w:val="99"/>
    <w:rsid w:val="000E01B8"/>
    <w:pPr>
      <w:numPr>
        <w:ilvl w:val="3"/>
        <w:numId w:val="33"/>
      </w:numPr>
    </w:pPr>
  </w:style>
  <w:style w:type="paragraph" w:customStyle="1" w:styleId="ListNumber1Level4">
    <w:name w:val="List Number 1 (Level 4)"/>
    <w:basedOn w:val="Text1"/>
    <w:uiPriority w:val="99"/>
    <w:rsid w:val="000E01B8"/>
    <w:pPr>
      <w:numPr>
        <w:ilvl w:val="3"/>
        <w:numId w:val="34"/>
      </w:numPr>
    </w:pPr>
  </w:style>
  <w:style w:type="paragraph" w:customStyle="1" w:styleId="ListNumber2Level4">
    <w:name w:val="List Number 2 (Level 4)"/>
    <w:basedOn w:val="Text2"/>
    <w:uiPriority w:val="99"/>
    <w:rsid w:val="000E01B8"/>
    <w:pPr>
      <w:numPr>
        <w:ilvl w:val="3"/>
        <w:numId w:val="35"/>
      </w:numPr>
    </w:pPr>
  </w:style>
  <w:style w:type="paragraph" w:customStyle="1" w:styleId="ListNumber3Level4">
    <w:name w:val="List Number 3 (Level 4)"/>
    <w:basedOn w:val="Text3"/>
    <w:uiPriority w:val="99"/>
    <w:rsid w:val="000E01B8"/>
    <w:pPr>
      <w:numPr>
        <w:ilvl w:val="3"/>
        <w:numId w:val="36"/>
      </w:numPr>
    </w:pPr>
  </w:style>
  <w:style w:type="paragraph" w:customStyle="1" w:styleId="ListNumber4Level4">
    <w:name w:val="List Number 4 (Level 4)"/>
    <w:basedOn w:val="Text4"/>
    <w:uiPriority w:val="99"/>
    <w:rsid w:val="000E01B8"/>
    <w:pPr>
      <w:numPr>
        <w:ilvl w:val="3"/>
        <w:numId w:val="37"/>
      </w:numPr>
    </w:pPr>
  </w:style>
  <w:style w:type="paragraph" w:customStyle="1" w:styleId="TableTitle">
    <w:name w:val="Table Title"/>
    <w:basedOn w:val="Normal"/>
    <w:next w:val="Normal"/>
    <w:uiPriority w:val="99"/>
    <w:rsid w:val="000E01B8"/>
    <w:pPr>
      <w:jc w:val="center"/>
    </w:pPr>
    <w:rPr>
      <w:b/>
    </w:rPr>
  </w:style>
  <w:style w:type="character" w:customStyle="1" w:styleId="Marker">
    <w:name w:val="Marker"/>
    <w:basedOn w:val="DefaultParagraphFont"/>
    <w:uiPriority w:val="99"/>
    <w:rsid w:val="000E01B8"/>
    <w:rPr>
      <w:rFonts w:cs="Times New Roman"/>
      <w:color w:val="0000FF"/>
    </w:rPr>
  </w:style>
  <w:style w:type="character" w:customStyle="1" w:styleId="Marker1">
    <w:name w:val="Marker1"/>
    <w:basedOn w:val="DefaultParagraphFont"/>
    <w:uiPriority w:val="99"/>
    <w:rsid w:val="000E01B8"/>
    <w:rPr>
      <w:rFonts w:cs="Times New Roman"/>
      <w:color w:val="008000"/>
    </w:rPr>
  </w:style>
  <w:style w:type="character" w:customStyle="1" w:styleId="Marker2">
    <w:name w:val="Marker2"/>
    <w:basedOn w:val="DefaultParagraphFont"/>
    <w:uiPriority w:val="99"/>
    <w:rsid w:val="000E01B8"/>
    <w:rPr>
      <w:rFonts w:cs="Times New Roman"/>
      <w:color w:val="FF0000"/>
    </w:rPr>
  </w:style>
  <w:style w:type="paragraph" w:styleId="TOCHeading">
    <w:name w:val="TOC Heading"/>
    <w:basedOn w:val="Normal"/>
    <w:next w:val="Normal"/>
    <w:uiPriority w:val="99"/>
    <w:qFormat/>
    <w:rsid w:val="000E01B8"/>
    <w:pPr>
      <w:spacing w:after="240"/>
      <w:jc w:val="center"/>
    </w:pPr>
    <w:rPr>
      <w:b/>
      <w:sz w:val="28"/>
    </w:rPr>
  </w:style>
  <w:style w:type="paragraph" w:customStyle="1" w:styleId="Annexetitreacte">
    <w:name w:val="Annexe titre (acte)"/>
    <w:basedOn w:val="Normal"/>
    <w:next w:val="Normal"/>
    <w:uiPriority w:val="99"/>
    <w:rsid w:val="000E01B8"/>
    <w:pPr>
      <w:jc w:val="center"/>
    </w:pPr>
    <w:rPr>
      <w:b/>
      <w:u w:val="single"/>
    </w:rPr>
  </w:style>
  <w:style w:type="paragraph" w:customStyle="1" w:styleId="Annexetitreglobale">
    <w:name w:val="Annexe titre (globale)"/>
    <w:basedOn w:val="Normal"/>
    <w:next w:val="Normal"/>
    <w:uiPriority w:val="99"/>
    <w:rsid w:val="000E01B8"/>
    <w:pPr>
      <w:jc w:val="center"/>
    </w:pPr>
    <w:rPr>
      <w:b/>
      <w:u w:val="single"/>
    </w:rPr>
  </w:style>
  <w:style w:type="paragraph" w:customStyle="1" w:styleId="Applicationdirecte">
    <w:name w:val="Application directe"/>
    <w:basedOn w:val="Normal"/>
    <w:next w:val="Fait"/>
    <w:uiPriority w:val="99"/>
    <w:rsid w:val="000E01B8"/>
    <w:pPr>
      <w:spacing w:before="480"/>
    </w:pPr>
  </w:style>
  <w:style w:type="paragraph" w:customStyle="1" w:styleId="Considrant">
    <w:name w:val="Considérant"/>
    <w:basedOn w:val="Normal"/>
    <w:uiPriority w:val="99"/>
    <w:rsid w:val="000E01B8"/>
    <w:pPr>
      <w:numPr>
        <w:numId w:val="38"/>
      </w:numPr>
    </w:pPr>
  </w:style>
  <w:style w:type="paragraph" w:customStyle="1" w:styleId="Datedadoption">
    <w:name w:val="Date d'adoption"/>
    <w:basedOn w:val="Normal"/>
    <w:next w:val="Titreobjet"/>
    <w:uiPriority w:val="99"/>
    <w:rsid w:val="000E01B8"/>
    <w:pPr>
      <w:spacing w:before="360" w:after="0"/>
      <w:jc w:val="center"/>
    </w:pPr>
    <w:rPr>
      <w:b/>
    </w:rPr>
  </w:style>
  <w:style w:type="paragraph" w:customStyle="1" w:styleId="Fait">
    <w:name w:val="Fait à"/>
    <w:basedOn w:val="Normal"/>
    <w:next w:val="Institutionquisigne"/>
    <w:uiPriority w:val="99"/>
    <w:rsid w:val="000E01B8"/>
    <w:pPr>
      <w:keepNext/>
      <w:spacing w:after="0"/>
    </w:pPr>
  </w:style>
  <w:style w:type="paragraph" w:customStyle="1" w:styleId="Formuledadoption">
    <w:name w:val="Formule d'adoption"/>
    <w:basedOn w:val="Normal"/>
    <w:next w:val="Titrearticle"/>
    <w:uiPriority w:val="99"/>
    <w:rsid w:val="000E01B8"/>
    <w:pPr>
      <w:keepNext/>
    </w:pPr>
  </w:style>
  <w:style w:type="paragraph" w:customStyle="1" w:styleId="Institutionquiagit">
    <w:name w:val="Institution qui agit"/>
    <w:basedOn w:val="Normal"/>
    <w:next w:val="Normal"/>
    <w:uiPriority w:val="99"/>
    <w:rsid w:val="000E01B8"/>
    <w:pPr>
      <w:keepNext/>
      <w:spacing w:before="600"/>
    </w:pPr>
  </w:style>
  <w:style w:type="paragraph" w:customStyle="1" w:styleId="Institutionquisigne">
    <w:name w:val="Institution qui signe"/>
    <w:basedOn w:val="Normal"/>
    <w:next w:val="Personnequisigne"/>
    <w:uiPriority w:val="99"/>
    <w:rsid w:val="000E01B8"/>
    <w:pPr>
      <w:keepNext/>
      <w:tabs>
        <w:tab w:val="left" w:pos="4252"/>
      </w:tabs>
      <w:spacing w:before="720" w:after="0"/>
    </w:pPr>
    <w:rPr>
      <w:i/>
    </w:rPr>
  </w:style>
  <w:style w:type="paragraph" w:customStyle="1" w:styleId="ManualConsidrant">
    <w:name w:val="Manual Considérant"/>
    <w:basedOn w:val="Normal"/>
    <w:uiPriority w:val="99"/>
    <w:rsid w:val="000E01B8"/>
    <w:pPr>
      <w:ind w:left="850" w:hanging="850"/>
    </w:pPr>
  </w:style>
  <w:style w:type="paragraph" w:customStyle="1" w:styleId="Personnequisigne">
    <w:name w:val="Personne qui signe"/>
    <w:basedOn w:val="Normal"/>
    <w:next w:val="Institutionquisigne"/>
    <w:uiPriority w:val="99"/>
    <w:rsid w:val="000E01B8"/>
    <w:pPr>
      <w:tabs>
        <w:tab w:val="left" w:pos="4252"/>
      </w:tabs>
      <w:spacing w:before="0" w:after="0"/>
    </w:pPr>
    <w:rPr>
      <w:i/>
    </w:rPr>
  </w:style>
  <w:style w:type="paragraph" w:customStyle="1" w:styleId="Sous-titreobjet">
    <w:name w:val="Sous-titre objet"/>
    <w:basedOn w:val="Normal"/>
    <w:uiPriority w:val="99"/>
    <w:rsid w:val="000E01B8"/>
    <w:pPr>
      <w:spacing w:before="0" w:after="0"/>
      <w:jc w:val="center"/>
    </w:pPr>
    <w:rPr>
      <w:b/>
    </w:rPr>
  </w:style>
  <w:style w:type="paragraph" w:customStyle="1" w:styleId="Statut">
    <w:name w:val="Statut"/>
    <w:basedOn w:val="Normal"/>
    <w:next w:val="Typedudocument"/>
    <w:uiPriority w:val="99"/>
    <w:rsid w:val="000E01B8"/>
    <w:pPr>
      <w:spacing w:before="360" w:after="0"/>
      <w:jc w:val="center"/>
    </w:pPr>
  </w:style>
  <w:style w:type="paragraph" w:customStyle="1" w:styleId="Titrearticle">
    <w:name w:val="Titre article"/>
    <w:basedOn w:val="Normal"/>
    <w:next w:val="Normal"/>
    <w:uiPriority w:val="99"/>
    <w:rsid w:val="000E01B8"/>
    <w:pPr>
      <w:keepNext/>
      <w:spacing w:before="360"/>
      <w:jc w:val="center"/>
    </w:pPr>
    <w:rPr>
      <w:i/>
    </w:rPr>
  </w:style>
  <w:style w:type="paragraph" w:customStyle="1" w:styleId="Titreobjet">
    <w:name w:val="Titre objet"/>
    <w:basedOn w:val="Normal"/>
    <w:next w:val="Sous-titreobjet"/>
    <w:uiPriority w:val="99"/>
    <w:rsid w:val="000E01B8"/>
    <w:pPr>
      <w:spacing w:before="360" w:after="360"/>
      <w:jc w:val="center"/>
    </w:pPr>
    <w:rPr>
      <w:b/>
    </w:rPr>
  </w:style>
  <w:style w:type="paragraph" w:customStyle="1" w:styleId="Typedudocument">
    <w:name w:val="Type du document"/>
    <w:basedOn w:val="Normal"/>
    <w:next w:val="Datedadoption"/>
    <w:uiPriority w:val="99"/>
    <w:rsid w:val="000E01B8"/>
    <w:pPr>
      <w:spacing w:before="360" w:after="0"/>
      <w:jc w:val="center"/>
    </w:pPr>
    <w:rPr>
      <w:b/>
    </w:rPr>
  </w:style>
  <w:style w:type="paragraph" w:customStyle="1" w:styleId="Lignefinal">
    <w:name w:val="Ligne final"/>
    <w:basedOn w:val="Normal"/>
    <w:next w:val="Normal"/>
    <w:uiPriority w:val="99"/>
    <w:rsid w:val="000E01B8"/>
    <w:pPr>
      <w:pBdr>
        <w:bottom w:val="single" w:sz="4" w:space="0" w:color="000000"/>
      </w:pBdr>
      <w:spacing w:before="720" w:after="360"/>
      <w:ind w:left="3400" w:right="3400"/>
      <w:jc w:val="center"/>
    </w:pPr>
    <w:rPr>
      <w:b/>
    </w:rPr>
  </w:style>
  <w:style w:type="paragraph" w:customStyle="1" w:styleId="LignefinalLandscape">
    <w:name w:val="Ligne final (Landscape)"/>
    <w:basedOn w:val="Normal"/>
    <w:next w:val="Normal"/>
    <w:uiPriority w:val="99"/>
    <w:rsid w:val="000E01B8"/>
    <w:pPr>
      <w:pBdr>
        <w:bottom w:val="single" w:sz="4" w:space="0" w:color="000000"/>
      </w:pBdr>
      <w:spacing w:before="720" w:after="360"/>
      <w:ind w:left="5868" w:right="5868"/>
      <w:jc w:val="center"/>
    </w:pPr>
    <w:rPr>
      <w:b/>
    </w:rPr>
  </w:style>
  <w:style w:type="paragraph" w:customStyle="1" w:styleId="Rfrenceinterinstitutionelle">
    <w:name w:val="Référence interinstitutionelle"/>
    <w:basedOn w:val="Normal"/>
    <w:next w:val="Statut"/>
    <w:uiPriority w:val="99"/>
    <w:rsid w:val="000E01B8"/>
    <w:pPr>
      <w:spacing w:before="0" w:after="0"/>
      <w:ind w:left="5103"/>
    </w:pPr>
  </w:style>
  <w:style w:type="paragraph" w:customStyle="1" w:styleId="EntLogo">
    <w:name w:val="EntLogo"/>
    <w:basedOn w:val="Normal"/>
    <w:uiPriority w:val="99"/>
    <w:rsid w:val="000E01B8"/>
    <w:pPr>
      <w:tabs>
        <w:tab w:val="right" w:pos="9639"/>
      </w:tabs>
      <w:spacing w:before="0" w:after="0"/>
    </w:pPr>
    <w:rPr>
      <w:b/>
    </w:rPr>
  </w:style>
  <w:style w:type="paragraph" w:customStyle="1" w:styleId="EntInstit">
    <w:name w:val="EntInstit"/>
    <w:basedOn w:val="Normal"/>
    <w:uiPriority w:val="99"/>
    <w:rsid w:val="000E01B8"/>
    <w:pPr>
      <w:spacing w:before="0" w:after="0" w:line="240" w:lineRule="auto"/>
      <w:jc w:val="right"/>
    </w:pPr>
    <w:rPr>
      <w:b/>
    </w:rPr>
  </w:style>
  <w:style w:type="paragraph" w:customStyle="1" w:styleId="EntRefer">
    <w:name w:val="EntRefer"/>
    <w:basedOn w:val="Normal"/>
    <w:uiPriority w:val="99"/>
    <w:rsid w:val="000E01B8"/>
    <w:pPr>
      <w:spacing w:before="0" w:after="0" w:line="240" w:lineRule="auto"/>
    </w:pPr>
    <w:rPr>
      <w:b/>
    </w:rPr>
  </w:style>
  <w:style w:type="paragraph" w:customStyle="1" w:styleId="EntEmet">
    <w:name w:val="EntEmet"/>
    <w:basedOn w:val="Normal"/>
    <w:uiPriority w:val="99"/>
    <w:rsid w:val="000E01B8"/>
    <w:pPr>
      <w:spacing w:before="40" w:after="0" w:line="240" w:lineRule="auto"/>
    </w:pPr>
  </w:style>
  <w:style w:type="paragraph" w:customStyle="1" w:styleId="EntText">
    <w:name w:val="EntText"/>
    <w:basedOn w:val="Normal"/>
    <w:uiPriority w:val="99"/>
    <w:rsid w:val="000E01B8"/>
  </w:style>
  <w:style w:type="paragraph" w:customStyle="1" w:styleId="EntEU">
    <w:name w:val="EntEU"/>
    <w:basedOn w:val="Normal"/>
    <w:uiPriority w:val="99"/>
    <w:rsid w:val="000E01B8"/>
    <w:pPr>
      <w:spacing w:before="240" w:after="240" w:line="240" w:lineRule="auto"/>
      <w:jc w:val="center"/>
    </w:pPr>
    <w:rPr>
      <w:b/>
      <w:sz w:val="36"/>
    </w:rPr>
  </w:style>
  <w:style w:type="paragraph" w:customStyle="1" w:styleId="EntASSOC">
    <w:name w:val="EntASSOC"/>
    <w:basedOn w:val="Normal"/>
    <w:uiPriority w:val="99"/>
    <w:rsid w:val="000E01B8"/>
    <w:pPr>
      <w:spacing w:before="0" w:after="0" w:line="240" w:lineRule="auto"/>
      <w:jc w:val="center"/>
    </w:pPr>
    <w:rPr>
      <w:b/>
    </w:rPr>
  </w:style>
  <w:style w:type="paragraph" w:customStyle="1" w:styleId="EntACP">
    <w:name w:val="EntACP"/>
    <w:basedOn w:val="Normal"/>
    <w:uiPriority w:val="99"/>
    <w:rsid w:val="000E01B8"/>
    <w:pPr>
      <w:spacing w:before="0" w:line="240" w:lineRule="auto"/>
      <w:jc w:val="center"/>
    </w:pPr>
    <w:rPr>
      <w:b/>
      <w:spacing w:val="40"/>
      <w:sz w:val="28"/>
    </w:rPr>
  </w:style>
  <w:style w:type="paragraph" w:customStyle="1" w:styleId="EntInstitACP">
    <w:name w:val="EntInstitACP"/>
    <w:basedOn w:val="Normal"/>
    <w:uiPriority w:val="99"/>
    <w:rsid w:val="000E01B8"/>
    <w:pPr>
      <w:spacing w:before="0" w:after="0" w:line="240" w:lineRule="auto"/>
      <w:jc w:val="center"/>
    </w:pPr>
    <w:rPr>
      <w:b/>
    </w:rPr>
  </w:style>
  <w:style w:type="paragraph" w:customStyle="1" w:styleId="Genredudocument">
    <w:name w:val="Genre du document"/>
    <w:basedOn w:val="EntRefer"/>
    <w:next w:val="EntRefer"/>
    <w:uiPriority w:val="99"/>
    <w:rsid w:val="000E01B8"/>
    <w:pPr>
      <w:spacing w:before="240"/>
    </w:pPr>
  </w:style>
  <w:style w:type="paragraph" w:customStyle="1" w:styleId="Accordtitre">
    <w:name w:val="Accord titre"/>
    <w:basedOn w:val="Normal"/>
    <w:uiPriority w:val="99"/>
    <w:rsid w:val="000E01B8"/>
    <w:pPr>
      <w:spacing w:before="0" w:after="0"/>
      <w:jc w:val="center"/>
    </w:pPr>
  </w:style>
  <w:style w:type="paragraph" w:customStyle="1" w:styleId="FooterAccord">
    <w:name w:val="Footer Accord"/>
    <w:basedOn w:val="Normal"/>
    <w:uiPriority w:val="99"/>
    <w:rsid w:val="000E01B8"/>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uiPriority w:val="99"/>
    <w:rsid w:val="000E01B8"/>
    <w:pPr>
      <w:tabs>
        <w:tab w:val="center" w:pos="7285"/>
        <w:tab w:val="center" w:pos="10930"/>
        <w:tab w:val="right" w:pos="14570"/>
      </w:tabs>
      <w:spacing w:before="360" w:after="0" w:line="240" w:lineRule="auto"/>
      <w:jc w:val="center"/>
    </w:pPr>
  </w:style>
  <w:style w:type="paragraph" w:styleId="BlockText">
    <w:name w:val="Block Text"/>
    <w:basedOn w:val="Normal"/>
    <w:uiPriority w:val="99"/>
    <w:rsid w:val="000E01B8"/>
    <w:pPr>
      <w:ind w:left="1440" w:right="1440"/>
    </w:pPr>
  </w:style>
  <w:style w:type="paragraph" w:styleId="BodyText">
    <w:name w:val="Body Text"/>
    <w:basedOn w:val="Normal"/>
    <w:link w:val="BodyTextChar"/>
    <w:uiPriority w:val="99"/>
    <w:rsid w:val="000E01B8"/>
  </w:style>
  <w:style w:type="character" w:customStyle="1" w:styleId="BodyTextChar">
    <w:name w:val="Body Text Char"/>
    <w:basedOn w:val="DefaultParagraphFont"/>
    <w:link w:val="BodyText"/>
    <w:uiPriority w:val="99"/>
    <w:locked/>
    <w:rsid w:val="000E01B8"/>
    <w:rPr>
      <w:rFonts w:eastAsia="Times New Roman" w:cs="Times New Roman"/>
      <w:sz w:val="20"/>
      <w:szCs w:val="20"/>
      <w:lang w:val="fr-FR"/>
    </w:rPr>
  </w:style>
  <w:style w:type="paragraph" w:styleId="BodyText2">
    <w:name w:val="Body Text 2"/>
    <w:basedOn w:val="Normal"/>
    <w:link w:val="BodyText2Char"/>
    <w:uiPriority w:val="99"/>
    <w:rsid w:val="000E01B8"/>
    <w:pPr>
      <w:spacing w:line="480" w:lineRule="auto"/>
    </w:pPr>
  </w:style>
  <w:style w:type="character" w:customStyle="1" w:styleId="BodyText2Char">
    <w:name w:val="Body Text 2 Char"/>
    <w:basedOn w:val="DefaultParagraphFont"/>
    <w:link w:val="BodyText2"/>
    <w:uiPriority w:val="99"/>
    <w:locked/>
    <w:rsid w:val="000E01B8"/>
    <w:rPr>
      <w:rFonts w:eastAsia="Times New Roman" w:cs="Times New Roman"/>
      <w:sz w:val="20"/>
      <w:szCs w:val="20"/>
      <w:lang w:val="fr-FR"/>
    </w:rPr>
  </w:style>
  <w:style w:type="paragraph" w:styleId="BodyText3">
    <w:name w:val="Body Text 3"/>
    <w:basedOn w:val="Normal"/>
    <w:link w:val="BodyText3Char"/>
    <w:uiPriority w:val="99"/>
    <w:rsid w:val="000E01B8"/>
    <w:rPr>
      <w:sz w:val="16"/>
      <w:szCs w:val="16"/>
    </w:rPr>
  </w:style>
  <w:style w:type="character" w:customStyle="1" w:styleId="BodyText3Char">
    <w:name w:val="Body Text 3 Char"/>
    <w:basedOn w:val="DefaultParagraphFont"/>
    <w:link w:val="BodyText3"/>
    <w:uiPriority w:val="99"/>
    <w:locked/>
    <w:rsid w:val="000E01B8"/>
    <w:rPr>
      <w:rFonts w:eastAsia="Times New Roman" w:cs="Times New Roman"/>
      <w:sz w:val="16"/>
      <w:szCs w:val="16"/>
      <w:lang w:val="fr-FR"/>
    </w:rPr>
  </w:style>
  <w:style w:type="paragraph" w:styleId="BodyTextFirstIndent">
    <w:name w:val="Body Text First Indent"/>
    <w:basedOn w:val="BodyText"/>
    <w:link w:val="BodyTextFirstIndentChar"/>
    <w:uiPriority w:val="99"/>
    <w:rsid w:val="000E01B8"/>
    <w:pPr>
      <w:ind w:firstLine="210"/>
    </w:pPr>
  </w:style>
  <w:style w:type="character" w:customStyle="1" w:styleId="BodyTextFirstIndentChar">
    <w:name w:val="Body Text First Indent Char"/>
    <w:basedOn w:val="BodyTextChar"/>
    <w:link w:val="BodyTextFirstIndent"/>
    <w:uiPriority w:val="99"/>
    <w:locked/>
    <w:rsid w:val="000E01B8"/>
  </w:style>
  <w:style w:type="paragraph" w:styleId="BodyTextIndent">
    <w:name w:val="Body Text Indent"/>
    <w:basedOn w:val="Normal"/>
    <w:link w:val="BodyTextIndentChar"/>
    <w:uiPriority w:val="99"/>
    <w:rsid w:val="000E01B8"/>
    <w:pPr>
      <w:ind w:left="283"/>
    </w:pPr>
  </w:style>
  <w:style w:type="character" w:customStyle="1" w:styleId="BodyTextIndentChar">
    <w:name w:val="Body Text Indent Char"/>
    <w:basedOn w:val="DefaultParagraphFont"/>
    <w:link w:val="BodyTextIndent"/>
    <w:uiPriority w:val="99"/>
    <w:locked/>
    <w:rsid w:val="000E01B8"/>
    <w:rPr>
      <w:rFonts w:eastAsia="Times New Roman" w:cs="Times New Roman"/>
      <w:sz w:val="20"/>
      <w:szCs w:val="20"/>
      <w:lang w:val="fr-FR"/>
    </w:rPr>
  </w:style>
  <w:style w:type="paragraph" w:styleId="BodyTextFirstIndent2">
    <w:name w:val="Body Text First Indent 2"/>
    <w:basedOn w:val="BodyTextIndent"/>
    <w:link w:val="BodyTextFirstIndent2Char"/>
    <w:uiPriority w:val="99"/>
    <w:rsid w:val="000E01B8"/>
    <w:pPr>
      <w:ind w:firstLine="210"/>
    </w:pPr>
  </w:style>
  <w:style w:type="character" w:customStyle="1" w:styleId="BodyTextFirstIndent2Char">
    <w:name w:val="Body Text First Indent 2 Char"/>
    <w:basedOn w:val="BodyTextIndentChar"/>
    <w:link w:val="BodyTextFirstIndent2"/>
    <w:uiPriority w:val="99"/>
    <w:locked/>
    <w:rsid w:val="000E01B8"/>
  </w:style>
  <w:style w:type="paragraph" w:styleId="BodyTextIndent2">
    <w:name w:val="Body Text Indent 2"/>
    <w:basedOn w:val="Normal"/>
    <w:link w:val="BodyTextIndent2Char"/>
    <w:uiPriority w:val="99"/>
    <w:rsid w:val="000E01B8"/>
    <w:pPr>
      <w:spacing w:line="480" w:lineRule="auto"/>
      <w:ind w:left="283"/>
    </w:pPr>
  </w:style>
  <w:style w:type="character" w:customStyle="1" w:styleId="BodyTextIndent2Char">
    <w:name w:val="Body Text Indent 2 Char"/>
    <w:basedOn w:val="DefaultParagraphFont"/>
    <w:link w:val="BodyTextIndent2"/>
    <w:uiPriority w:val="99"/>
    <w:locked/>
    <w:rsid w:val="000E01B8"/>
    <w:rPr>
      <w:rFonts w:eastAsia="Times New Roman" w:cs="Times New Roman"/>
      <w:sz w:val="20"/>
      <w:szCs w:val="20"/>
      <w:lang w:val="fr-FR"/>
    </w:rPr>
  </w:style>
  <w:style w:type="paragraph" w:styleId="BodyTextIndent3">
    <w:name w:val="Body Text Indent 3"/>
    <w:basedOn w:val="Normal"/>
    <w:link w:val="BodyTextIndent3Char"/>
    <w:uiPriority w:val="99"/>
    <w:rsid w:val="000E01B8"/>
    <w:pPr>
      <w:ind w:left="283"/>
    </w:pPr>
    <w:rPr>
      <w:sz w:val="16"/>
      <w:szCs w:val="16"/>
    </w:rPr>
  </w:style>
  <w:style w:type="character" w:customStyle="1" w:styleId="BodyTextIndent3Char">
    <w:name w:val="Body Text Indent 3 Char"/>
    <w:basedOn w:val="DefaultParagraphFont"/>
    <w:link w:val="BodyTextIndent3"/>
    <w:uiPriority w:val="99"/>
    <w:locked/>
    <w:rsid w:val="000E01B8"/>
    <w:rPr>
      <w:rFonts w:eastAsia="Times New Roman" w:cs="Times New Roman"/>
      <w:sz w:val="16"/>
      <w:szCs w:val="16"/>
      <w:lang w:val="fr-FR"/>
    </w:rPr>
  </w:style>
  <w:style w:type="paragraph" w:styleId="Closing">
    <w:name w:val="Closing"/>
    <w:basedOn w:val="Normal"/>
    <w:link w:val="ClosingChar"/>
    <w:uiPriority w:val="99"/>
    <w:rsid w:val="000E01B8"/>
    <w:pPr>
      <w:ind w:left="4252"/>
    </w:pPr>
  </w:style>
  <w:style w:type="character" w:customStyle="1" w:styleId="ClosingChar">
    <w:name w:val="Closing Char"/>
    <w:basedOn w:val="DefaultParagraphFont"/>
    <w:link w:val="Closing"/>
    <w:uiPriority w:val="99"/>
    <w:locked/>
    <w:rsid w:val="000E01B8"/>
    <w:rPr>
      <w:rFonts w:eastAsia="Times New Roman" w:cs="Times New Roman"/>
      <w:sz w:val="20"/>
      <w:szCs w:val="20"/>
      <w:lang w:val="fr-FR"/>
    </w:rPr>
  </w:style>
  <w:style w:type="character" w:styleId="CommentReference">
    <w:name w:val="annotation reference"/>
    <w:basedOn w:val="DefaultParagraphFont"/>
    <w:uiPriority w:val="99"/>
    <w:semiHidden/>
    <w:rsid w:val="000E01B8"/>
    <w:rPr>
      <w:rFonts w:cs="Times New Roman"/>
      <w:sz w:val="16"/>
      <w:szCs w:val="16"/>
    </w:rPr>
  </w:style>
  <w:style w:type="paragraph" w:styleId="CommentText">
    <w:name w:val="annotation text"/>
    <w:basedOn w:val="Normal"/>
    <w:link w:val="CommentTextChar"/>
    <w:uiPriority w:val="99"/>
    <w:semiHidden/>
    <w:rsid w:val="000E01B8"/>
    <w:rPr>
      <w:sz w:val="20"/>
    </w:rPr>
  </w:style>
  <w:style w:type="character" w:customStyle="1" w:styleId="CommentTextChar">
    <w:name w:val="Comment Text Char"/>
    <w:basedOn w:val="DefaultParagraphFont"/>
    <w:link w:val="CommentText"/>
    <w:uiPriority w:val="99"/>
    <w:semiHidden/>
    <w:locked/>
    <w:rsid w:val="000E01B8"/>
    <w:rPr>
      <w:rFonts w:eastAsia="Times New Roman" w:cs="Times New Roman"/>
      <w:sz w:val="20"/>
      <w:szCs w:val="20"/>
      <w:lang w:val="fr-FR"/>
    </w:rPr>
  </w:style>
  <w:style w:type="paragraph" w:styleId="CommentSubject">
    <w:name w:val="annotation subject"/>
    <w:basedOn w:val="CommentText"/>
    <w:next w:val="CommentText"/>
    <w:link w:val="CommentSubjectChar"/>
    <w:uiPriority w:val="99"/>
    <w:semiHidden/>
    <w:rsid w:val="000E01B8"/>
    <w:rPr>
      <w:b/>
      <w:bCs/>
    </w:rPr>
  </w:style>
  <w:style w:type="character" w:customStyle="1" w:styleId="CommentSubjectChar">
    <w:name w:val="Comment Subject Char"/>
    <w:basedOn w:val="CommentTextChar"/>
    <w:link w:val="CommentSubject"/>
    <w:uiPriority w:val="99"/>
    <w:semiHidden/>
    <w:locked/>
    <w:rsid w:val="000E01B8"/>
    <w:rPr>
      <w:b/>
      <w:bCs/>
    </w:rPr>
  </w:style>
  <w:style w:type="paragraph" w:styleId="DocumentMap">
    <w:name w:val="Document Map"/>
    <w:basedOn w:val="Normal"/>
    <w:link w:val="DocumentMapChar"/>
    <w:uiPriority w:val="99"/>
    <w:semiHidden/>
    <w:rsid w:val="000E01B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1B8"/>
    <w:rPr>
      <w:rFonts w:ascii="Tahoma" w:hAnsi="Tahoma" w:cs="Tahoma"/>
      <w:sz w:val="20"/>
      <w:szCs w:val="20"/>
      <w:shd w:val="clear" w:color="auto" w:fill="000080"/>
      <w:lang w:val="fr-FR"/>
    </w:rPr>
  </w:style>
  <w:style w:type="paragraph" w:styleId="E-mailSignature">
    <w:name w:val="E-mail Signature"/>
    <w:basedOn w:val="Normal"/>
    <w:link w:val="E-mailSignatureChar"/>
    <w:uiPriority w:val="99"/>
    <w:rsid w:val="000E01B8"/>
  </w:style>
  <w:style w:type="character" w:customStyle="1" w:styleId="E-mailSignatureChar">
    <w:name w:val="E-mail Signature Char"/>
    <w:basedOn w:val="DefaultParagraphFont"/>
    <w:link w:val="E-mailSignature"/>
    <w:uiPriority w:val="99"/>
    <w:locked/>
    <w:rsid w:val="000E01B8"/>
    <w:rPr>
      <w:rFonts w:eastAsia="Times New Roman" w:cs="Times New Roman"/>
      <w:sz w:val="20"/>
      <w:szCs w:val="20"/>
      <w:lang w:val="fr-FR"/>
    </w:rPr>
  </w:style>
  <w:style w:type="character" w:styleId="Emphasis">
    <w:name w:val="Emphasis"/>
    <w:basedOn w:val="DefaultParagraphFont"/>
    <w:uiPriority w:val="99"/>
    <w:qFormat/>
    <w:rsid w:val="000E01B8"/>
    <w:rPr>
      <w:rFonts w:cs="Times New Roman"/>
      <w:i/>
      <w:iCs/>
    </w:rPr>
  </w:style>
  <w:style w:type="character" w:styleId="EndnoteReference">
    <w:name w:val="endnote reference"/>
    <w:basedOn w:val="DefaultParagraphFont"/>
    <w:uiPriority w:val="99"/>
    <w:semiHidden/>
    <w:rsid w:val="000E01B8"/>
    <w:rPr>
      <w:rFonts w:cs="Times New Roman"/>
      <w:vertAlign w:val="superscript"/>
    </w:rPr>
  </w:style>
  <w:style w:type="paragraph" w:styleId="EndnoteText">
    <w:name w:val="endnote text"/>
    <w:basedOn w:val="Normal"/>
    <w:link w:val="EndnoteTextChar"/>
    <w:uiPriority w:val="99"/>
    <w:semiHidden/>
    <w:rsid w:val="000E01B8"/>
    <w:rPr>
      <w:sz w:val="20"/>
    </w:rPr>
  </w:style>
  <w:style w:type="character" w:customStyle="1" w:styleId="EndnoteTextChar">
    <w:name w:val="Endnote Text Char"/>
    <w:basedOn w:val="DefaultParagraphFont"/>
    <w:link w:val="EndnoteText"/>
    <w:uiPriority w:val="99"/>
    <w:semiHidden/>
    <w:locked/>
    <w:rsid w:val="000E01B8"/>
    <w:rPr>
      <w:rFonts w:eastAsia="Times New Roman" w:cs="Times New Roman"/>
      <w:sz w:val="20"/>
      <w:szCs w:val="20"/>
      <w:lang w:val="fr-FR"/>
    </w:rPr>
  </w:style>
  <w:style w:type="paragraph" w:styleId="EnvelopeAddress">
    <w:name w:val="envelope address"/>
    <w:basedOn w:val="Normal"/>
    <w:uiPriority w:val="99"/>
    <w:rsid w:val="000E01B8"/>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0E01B8"/>
    <w:rPr>
      <w:rFonts w:ascii="Arial" w:hAnsi="Arial" w:cs="Arial"/>
      <w:sz w:val="20"/>
    </w:rPr>
  </w:style>
  <w:style w:type="character" w:styleId="FollowedHyperlink">
    <w:name w:val="FollowedHyperlink"/>
    <w:basedOn w:val="DefaultParagraphFont"/>
    <w:uiPriority w:val="99"/>
    <w:rsid w:val="000E01B8"/>
    <w:rPr>
      <w:rFonts w:cs="Times New Roman"/>
      <w:color w:val="800080"/>
      <w:u w:val="single"/>
    </w:rPr>
  </w:style>
  <w:style w:type="character" w:styleId="HTMLAcronym">
    <w:name w:val="HTML Acronym"/>
    <w:basedOn w:val="DefaultParagraphFont"/>
    <w:uiPriority w:val="99"/>
    <w:rsid w:val="000E01B8"/>
    <w:rPr>
      <w:rFonts w:cs="Times New Roman"/>
    </w:rPr>
  </w:style>
  <w:style w:type="paragraph" w:styleId="HTMLAddress">
    <w:name w:val="HTML Address"/>
    <w:basedOn w:val="Normal"/>
    <w:link w:val="HTMLAddressChar"/>
    <w:uiPriority w:val="99"/>
    <w:rsid w:val="000E01B8"/>
    <w:rPr>
      <w:i/>
      <w:iCs/>
    </w:rPr>
  </w:style>
  <w:style w:type="character" w:customStyle="1" w:styleId="HTMLAddressChar">
    <w:name w:val="HTML Address Char"/>
    <w:basedOn w:val="DefaultParagraphFont"/>
    <w:link w:val="HTMLAddress"/>
    <w:uiPriority w:val="99"/>
    <w:locked/>
    <w:rsid w:val="000E01B8"/>
    <w:rPr>
      <w:rFonts w:eastAsia="Times New Roman" w:cs="Times New Roman"/>
      <w:i/>
      <w:iCs/>
      <w:sz w:val="20"/>
      <w:szCs w:val="20"/>
      <w:lang w:val="fr-FR"/>
    </w:rPr>
  </w:style>
  <w:style w:type="character" w:styleId="HTMLCite">
    <w:name w:val="HTML Cite"/>
    <w:basedOn w:val="DefaultParagraphFont"/>
    <w:uiPriority w:val="99"/>
    <w:rsid w:val="000E01B8"/>
    <w:rPr>
      <w:rFonts w:cs="Times New Roman"/>
      <w:i/>
      <w:iCs/>
    </w:rPr>
  </w:style>
  <w:style w:type="character" w:styleId="HTMLCode">
    <w:name w:val="HTML Code"/>
    <w:basedOn w:val="DefaultParagraphFont"/>
    <w:uiPriority w:val="99"/>
    <w:rsid w:val="000E01B8"/>
    <w:rPr>
      <w:rFonts w:ascii="Courier New" w:hAnsi="Courier New" w:cs="Courier New"/>
      <w:sz w:val="20"/>
      <w:szCs w:val="20"/>
    </w:rPr>
  </w:style>
  <w:style w:type="character" w:styleId="HTMLDefinition">
    <w:name w:val="HTML Definition"/>
    <w:basedOn w:val="DefaultParagraphFont"/>
    <w:uiPriority w:val="99"/>
    <w:rsid w:val="000E01B8"/>
    <w:rPr>
      <w:rFonts w:cs="Times New Roman"/>
      <w:i/>
      <w:iCs/>
    </w:rPr>
  </w:style>
  <w:style w:type="character" w:styleId="HTMLKeyboard">
    <w:name w:val="HTML Keyboard"/>
    <w:basedOn w:val="DefaultParagraphFont"/>
    <w:uiPriority w:val="99"/>
    <w:rsid w:val="000E01B8"/>
    <w:rPr>
      <w:rFonts w:ascii="Courier New" w:hAnsi="Courier New" w:cs="Courier New"/>
      <w:sz w:val="20"/>
      <w:szCs w:val="20"/>
    </w:rPr>
  </w:style>
  <w:style w:type="paragraph" w:styleId="HTMLPreformatted">
    <w:name w:val="HTML Preformatted"/>
    <w:basedOn w:val="Normal"/>
    <w:link w:val="HTMLPreformattedChar"/>
    <w:uiPriority w:val="99"/>
    <w:rsid w:val="000E01B8"/>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E01B8"/>
    <w:rPr>
      <w:rFonts w:ascii="Courier New" w:hAnsi="Courier New" w:cs="Courier New"/>
      <w:sz w:val="20"/>
      <w:szCs w:val="20"/>
      <w:lang w:val="fr-FR"/>
    </w:rPr>
  </w:style>
  <w:style w:type="character" w:styleId="HTMLSample">
    <w:name w:val="HTML Sample"/>
    <w:basedOn w:val="DefaultParagraphFont"/>
    <w:uiPriority w:val="99"/>
    <w:rsid w:val="000E01B8"/>
    <w:rPr>
      <w:rFonts w:ascii="Courier New" w:hAnsi="Courier New" w:cs="Courier New"/>
    </w:rPr>
  </w:style>
  <w:style w:type="character" w:styleId="HTMLTypewriter">
    <w:name w:val="HTML Typewriter"/>
    <w:basedOn w:val="DefaultParagraphFont"/>
    <w:uiPriority w:val="99"/>
    <w:rsid w:val="000E01B8"/>
    <w:rPr>
      <w:rFonts w:ascii="Courier New" w:hAnsi="Courier New" w:cs="Courier New"/>
      <w:sz w:val="20"/>
      <w:szCs w:val="20"/>
    </w:rPr>
  </w:style>
  <w:style w:type="character" w:styleId="HTMLVariable">
    <w:name w:val="HTML Variable"/>
    <w:basedOn w:val="DefaultParagraphFont"/>
    <w:uiPriority w:val="99"/>
    <w:rsid w:val="000E01B8"/>
    <w:rPr>
      <w:rFonts w:cs="Times New Roman"/>
      <w:i/>
      <w:iCs/>
    </w:rPr>
  </w:style>
  <w:style w:type="character" w:styleId="Hyperlink">
    <w:name w:val="Hyperlink"/>
    <w:basedOn w:val="DefaultParagraphFont"/>
    <w:uiPriority w:val="99"/>
    <w:rsid w:val="000E01B8"/>
    <w:rPr>
      <w:rFonts w:cs="Times New Roman"/>
      <w:color w:val="0000FF"/>
      <w:u w:val="single"/>
    </w:rPr>
  </w:style>
  <w:style w:type="character" w:styleId="LineNumber">
    <w:name w:val="line number"/>
    <w:basedOn w:val="DefaultParagraphFont"/>
    <w:uiPriority w:val="99"/>
    <w:rsid w:val="000E01B8"/>
    <w:rPr>
      <w:rFonts w:cs="Times New Roman"/>
    </w:rPr>
  </w:style>
  <w:style w:type="paragraph" w:styleId="List">
    <w:name w:val="List"/>
    <w:basedOn w:val="Normal"/>
    <w:uiPriority w:val="99"/>
    <w:rsid w:val="000E01B8"/>
    <w:pPr>
      <w:ind w:left="283" w:hanging="283"/>
    </w:pPr>
  </w:style>
  <w:style w:type="paragraph" w:styleId="List2">
    <w:name w:val="List 2"/>
    <w:basedOn w:val="Normal"/>
    <w:uiPriority w:val="99"/>
    <w:rsid w:val="000E01B8"/>
    <w:pPr>
      <w:ind w:left="566" w:hanging="283"/>
    </w:pPr>
  </w:style>
  <w:style w:type="paragraph" w:styleId="List3">
    <w:name w:val="List 3"/>
    <w:basedOn w:val="Normal"/>
    <w:uiPriority w:val="99"/>
    <w:rsid w:val="000E01B8"/>
    <w:pPr>
      <w:ind w:left="849" w:hanging="283"/>
    </w:pPr>
  </w:style>
  <w:style w:type="paragraph" w:styleId="List4">
    <w:name w:val="List 4"/>
    <w:basedOn w:val="Normal"/>
    <w:uiPriority w:val="99"/>
    <w:rsid w:val="000E01B8"/>
    <w:pPr>
      <w:ind w:left="1132" w:hanging="283"/>
    </w:pPr>
  </w:style>
  <w:style w:type="paragraph" w:styleId="List5">
    <w:name w:val="List 5"/>
    <w:basedOn w:val="Normal"/>
    <w:uiPriority w:val="99"/>
    <w:rsid w:val="000E01B8"/>
    <w:pPr>
      <w:ind w:left="1415" w:hanging="283"/>
    </w:pPr>
  </w:style>
  <w:style w:type="paragraph" w:styleId="ListBullet5">
    <w:name w:val="List Bullet 5"/>
    <w:basedOn w:val="Normal"/>
    <w:autoRedefine/>
    <w:uiPriority w:val="99"/>
    <w:rsid w:val="000E01B8"/>
    <w:pPr>
      <w:numPr>
        <w:numId w:val="42"/>
      </w:numPr>
    </w:pPr>
  </w:style>
  <w:style w:type="paragraph" w:styleId="ListContinue">
    <w:name w:val="List Continue"/>
    <w:basedOn w:val="Normal"/>
    <w:uiPriority w:val="99"/>
    <w:rsid w:val="000E01B8"/>
    <w:pPr>
      <w:ind w:left="283"/>
    </w:pPr>
  </w:style>
  <w:style w:type="paragraph" w:styleId="ListContinue2">
    <w:name w:val="List Continue 2"/>
    <w:basedOn w:val="Normal"/>
    <w:uiPriority w:val="99"/>
    <w:rsid w:val="000E01B8"/>
    <w:pPr>
      <w:ind w:left="566"/>
    </w:pPr>
  </w:style>
  <w:style w:type="paragraph" w:styleId="ListContinue3">
    <w:name w:val="List Continue 3"/>
    <w:basedOn w:val="Normal"/>
    <w:uiPriority w:val="99"/>
    <w:rsid w:val="000E01B8"/>
    <w:pPr>
      <w:ind w:left="849"/>
    </w:pPr>
  </w:style>
  <w:style w:type="paragraph" w:styleId="ListContinue4">
    <w:name w:val="List Continue 4"/>
    <w:basedOn w:val="Normal"/>
    <w:uiPriority w:val="99"/>
    <w:rsid w:val="000E01B8"/>
    <w:pPr>
      <w:ind w:left="1132"/>
    </w:pPr>
  </w:style>
  <w:style w:type="paragraph" w:styleId="ListContinue5">
    <w:name w:val="List Continue 5"/>
    <w:basedOn w:val="Normal"/>
    <w:uiPriority w:val="99"/>
    <w:rsid w:val="000E01B8"/>
    <w:pPr>
      <w:ind w:left="1415"/>
    </w:pPr>
  </w:style>
  <w:style w:type="paragraph" w:styleId="ListNumber5">
    <w:name w:val="List Number 5"/>
    <w:basedOn w:val="Normal"/>
    <w:uiPriority w:val="99"/>
    <w:rsid w:val="000E01B8"/>
    <w:pPr>
      <w:numPr>
        <w:numId w:val="43"/>
      </w:numPr>
    </w:pPr>
  </w:style>
  <w:style w:type="paragraph" w:styleId="MacroText">
    <w:name w:val="macro"/>
    <w:link w:val="MacroTextChar"/>
    <w:uiPriority w:val="99"/>
    <w:semiHidden/>
    <w:rsid w:val="000E01B8"/>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uiPriority w:val="99"/>
    <w:semiHidden/>
    <w:locked/>
    <w:rsid w:val="000E01B8"/>
    <w:rPr>
      <w:rFonts w:ascii="Courier New" w:hAnsi="Courier New" w:cs="Courier New"/>
      <w:lang w:val="en-GB" w:eastAsia="en-US" w:bidi="ar-SA"/>
    </w:rPr>
  </w:style>
  <w:style w:type="paragraph" w:styleId="MessageHeader">
    <w:name w:val="Message Header"/>
    <w:basedOn w:val="Normal"/>
    <w:link w:val="MessageHeaderChar"/>
    <w:uiPriority w:val="99"/>
    <w:rsid w:val="000E01B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locked/>
    <w:rsid w:val="000E01B8"/>
    <w:rPr>
      <w:rFonts w:ascii="Arial" w:hAnsi="Arial" w:cs="Arial"/>
      <w:sz w:val="24"/>
      <w:szCs w:val="24"/>
      <w:shd w:val="pct20" w:color="auto" w:fill="auto"/>
      <w:lang w:val="fr-FR"/>
    </w:rPr>
  </w:style>
  <w:style w:type="paragraph" w:styleId="NormalWeb">
    <w:name w:val="Normal (Web)"/>
    <w:basedOn w:val="Normal"/>
    <w:uiPriority w:val="99"/>
    <w:rsid w:val="000E01B8"/>
    <w:rPr>
      <w:szCs w:val="24"/>
    </w:rPr>
  </w:style>
  <w:style w:type="paragraph" w:styleId="NormalIndent">
    <w:name w:val="Normal Indent"/>
    <w:basedOn w:val="Normal"/>
    <w:uiPriority w:val="99"/>
    <w:rsid w:val="000E01B8"/>
    <w:pPr>
      <w:ind w:left="720"/>
    </w:pPr>
  </w:style>
  <w:style w:type="character" w:styleId="PageNumber">
    <w:name w:val="page number"/>
    <w:basedOn w:val="DefaultParagraphFont"/>
    <w:uiPriority w:val="99"/>
    <w:rsid w:val="000E01B8"/>
    <w:rPr>
      <w:rFonts w:cs="Times New Roman"/>
    </w:rPr>
  </w:style>
  <w:style w:type="paragraph" w:styleId="PlainText">
    <w:name w:val="Plain Text"/>
    <w:basedOn w:val="Normal"/>
    <w:link w:val="PlainTextChar"/>
    <w:uiPriority w:val="99"/>
    <w:rsid w:val="000E01B8"/>
    <w:rPr>
      <w:rFonts w:ascii="Courier New" w:hAnsi="Courier New" w:cs="Courier New"/>
      <w:sz w:val="20"/>
    </w:rPr>
  </w:style>
  <w:style w:type="character" w:customStyle="1" w:styleId="PlainTextChar">
    <w:name w:val="Plain Text Char"/>
    <w:basedOn w:val="DefaultParagraphFont"/>
    <w:link w:val="PlainText"/>
    <w:uiPriority w:val="99"/>
    <w:locked/>
    <w:rsid w:val="000E01B8"/>
    <w:rPr>
      <w:rFonts w:ascii="Courier New" w:hAnsi="Courier New" w:cs="Courier New"/>
      <w:sz w:val="20"/>
      <w:szCs w:val="20"/>
      <w:lang w:val="fr-FR"/>
    </w:rPr>
  </w:style>
  <w:style w:type="paragraph" w:styleId="Signature">
    <w:name w:val="Signature"/>
    <w:basedOn w:val="Normal"/>
    <w:link w:val="SignatureChar"/>
    <w:uiPriority w:val="99"/>
    <w:rsid w:val="000E01B8"/>
    <w:pPr>
      <w:ind w:left="4252"/>
    </w:pPr>
  </w:style>
  <w:style w:type="character" w:customStyle="1" w:styleId="SignatureChar">
    <w:name w:val="Signature Char"/>
    <w:basedOn w:val="DefaultParagraphFont"/>
    <w:link w:val="Signature"/>
    <w:uiPriority w:val="99"/>
    <w:locked/>
    <w:rsid w:val="000E01B8"/>
    <w:rPr>
      <w:rFonts w:eastAsia="Times New Roman" w:cs="Times New Roman"/>
      <w:sz w:val="20"/>
      <w:szCs w:val="20"/>
      <w:lang w:val="fr-FR"/>
    </w:rPr>
  </w:style>
  <w:style w:type="character" w:styleId="Strong">
    <w:name w:val="Strong"/>
    <w:basedOn w:val="DefaultParagraphFont"/>
    <w:uiPriority w:val="99"/>
    <w:qFormat/>
    <w:rsid w:val="000E01B8"/>
    <w:rPr>
      <w:rFonts w:cs="Times New Roman"/>
      <w:b/>
      <w:bCs/>
    </w:rPr>
  </w:style>
  <w:style w:type="paragraph" w:styleId="Subtitle">
    <w:name w:val="Subtitle"/>
    <w:basedOn w:val="Normal"/>
    <w:link w:val="SubtitleChar"/>
    <w:uiPriority w:val="99"/>
    <w:qFormat/>
    <w:rsid w:val="000E01B8"/>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0E01B8"/>
    <w:rPr>
      <w:rFonts w:ascii="Arial" w:hAnsi="Arial" w:cs="Arial"/>
      <w:sz w:val="24"/>
      <w:szCs w:val="24"/>
      <w:lang w:val="fr-FR"/>
    </w:rPr>
  </w:style>
  <w:style w:type="table" w:styleId="Table3Deffects1">
    <w:name w:val="Table 3D effects 1"/>
    <w:basedOn w:val="TableNormal"/>
    <w:uiPriority w:val="99"/>
    <w:rsid w:val="000E01B8"/>
    <w:pPr>
      <w:spacing w:before="120" w:after="120" w:line="360" w:lineRule="auto"/>
    </w:pPr>
    <w:rPr>
      <w:rFonts w:eastAsia="Times New Roman"/>
      <w:sz w:val="20"/>
      <w:szCs w:val="20"/>
      <w:lang w:eastAsia="lb-L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E01B8"/>
    <w:pPr>
      <w:spacing w:before="120" w:after="120" w:line="360" w:lineRule="auto"/>
    </w:pPr>
    <w:rPr>
      <w:rFonts w:eastAsia="Times New Roman"/>
      <w:sz w:val="20"/>
      <w:szCs w:val="20"/>
      <w:lang w:eastAsia="lb-L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E01B8"/>
    <w:pPr>
      <w:spacing w:before="120" w:after="120" w:line="360" w:lineRule="auto"/>
    </w:pPr>
    <w:rPr>
      <w:rFonts w:eastAsia="Times New Roman"/>
      <w:sz w:val="20"/>
      <w:szCs w:val="20"/>
      <w:lang w:eastAsia="lb-L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0E01B8"/>
    <w:pPr>
      <w:spacing w:before="120" w:after="120" w:line="360" w:lineRule="auto"/>
    </w:pPr>
    <w:rPr>
      <w:rFonts w:eastAsia="Times New Roman"/>
      <w:sz w:val="20"/>
      <w:szCs w:val="20"/>
      <w:lang w:eastAsia="lb-L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0E01B8"/>
    <w:pPr>
      <w:spacing w:before="120" w:after="120" w:line="360" w:lineRule="auto"/>
    </w:pPr>
    <w:rPr>
      <w:rFonts w:eastAsia="Times New Roman"/>
      <w:sz w:val="20"/>
      <w:szCs w:val="20"/>
      <w:lang w:eastAsia="lb-L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E01B8"/>
    <w:pPr>
      <w:spacing w:before="120" w:after="120" w:line="360" w:lineRule="auto"/>
    </w:pPr>
    <w:rPr>
      <w:rFonts w:eastAsia="Times New Roman"/>
      <w:color w:val="000080"/>
      <w:sz w:val="20"/>
      <w:szCs w:val="20"/>
      <w:lang w:eastAsia="lb-L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E01B8"/>
    <w:pPr>
      <w:spacing w:before="120" w:after="120" w:line="360" w:lineRule="auto"/>
    </w:pPr>
    <w:rPr>
      <w:rFonts w:eastAsia="Times New Roman"/>
      <w:sz w:val="20"/>
      <w:szCs w:val="20"/>
      <w:lang w:eastAsia="lb-L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E01B8"/>
    <w:pPr>
      <w:spacing w:before="120" w:after="120" w:line="360" w:lineRule="auto"/>
    </w:pPr>
    <w:rPr>
      <w:rFonts w:eastAsia="Times New Roman"/>
      <w:color w:val="FFFFFF"/>
      <w:sz w:val="20"/>
      <w:szCs w:val="20"/>
      <w:lang w:eastAsia="lb-L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E01B8"/>
    <w:pPr>
      <w:spacing w:before="120" w:after="120" w:line="360" w:lineRule="auto"/>
    </w:pPr>
    <w:rPr>
      <w:rFonts w:eastAsia="Times New Roman"/>
      <w:sz w:val="20"/>
      <w:szCs w:val="20"/>
      <w:lang w:eastAsia="lb-L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E01B8"/>
    <w:pPr>
      <w:spacing w:before="120" w:after="120" w:line="360" w:lineRule="auto"/>
    </w:pPr>
    <w:rPr>
      <w:rFonts w:eastAsia="Times New Roman"/>
      <w:sz w:val="20"/>
      <w:szCs w:val="20"/>
      <w:lang w:eastAsia="lb-L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E01B8"/>
    <w:pPr>
      <w:spacing w:before="120" w:after="120" w:line="360" w:lineRule="auto"/>
    </w:pPr>
    <w:rPr>
      <w:rFonts w:eastAsia="Times New Roman"/>
      <w:b/>
      <w:bCs/>
      <w:sz w:val="20"/>
      <w:szCs w:val="20"/>
      <w:lang w:eastAsia="lb-L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0E01B8"/>
    <w:pPr>
      <w:spacing w:before="120" w:after="120" w:line="360" w:lineRule="auto"/>
    </w:pPr>
    <w:rPr>
      <w:rFonts w:eastAsia="Times New Roman"/>
      <w:b/>
      <w:bCs/>
      <w:sz w:val="20"/>
      <w:szCs w:val="20"/>
      <w:lang w:eastAsia="lb-L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E01B8"/>
    <w:pPr>
      <w:spacing w:before="120" w:after="120" w:line="360" w:lineRule="auto"/>
    </w:pPr>
    <w:rPr>
      <w:rFonts w:eastAsia="Times New Roman"/>
      <w:b/>
      <w:bCs/>
      <w:sz w:val="20"/>
      <w:szCs w:val="20"/>
      <w:lang w:eastAsia="lb-L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0E01B8"/>
    <w:pPr>
      <w:spacing w:before="120" w:after="120" w:line="360" w:lineRule="auto"/>
    </w:pPr>
    <w:rPr>
      <w:rFonts w:eastAsia="Times New Roman"/>
      <w:sz w:val="20"/>
      <w:szCs w:val="20"/>
      <w:lang w:eastAsia="lb-L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0E01B8"/>
    <w:pPr>
      <w:spacing w:before="120" w:after="120" w:line="360" w:lineRule="auto"/>
    </w:pPr>
    <w:rPr>
      <w:rFonts w:eastAsia="Times New Roman"/>
      <w:sz w:val="20"/>
      <w:szCs w:val="20"/>
      <w:lang w:eastAsia="lb-L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0E01B8"/>
    <w:pPr>
      <w:spacing w:before="120" w:after="120" w:line="360" w:lineRule="auto"/>
    </w:pPr>
    <w:rPr>
      <w:rFonts w:eastAsia="Times New Roman"/>
      <w:sz w:val="20"/>
      <w:szCs w:val="20"/>
      <w:lang w:eastAsia="lb-L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E01B8"/>
    <w:pPr>
      <w:spacing w:before="120" w:after="120" w:line="360" w:lineRule="auto"/>
    </w:pPr>
    <w:rPr>
      <w:rFonts w:eastAsia="Times New Roman"/>
      <w:sz w:val="20"/>
      <w:szCs w:val="20"/>
      <w:lang w:eastAsia="lb-L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0E01B8"/>
    <w:pPr>
      <w:spacing w:before="120" w:after="120" w:line="360" w:lineRule="auto"/>
    </w:pPr>
    <w:rPr>
      <w:rFonts w:eastAsia="Times New Roman"/>
      <w:sz w:val="20"/>
      <w:szCs w:val="20"/>
      <w:lang w:eastAsia="lb-L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0E01B8"/>
    <w:pPr>
      <w:spacing w:before="120" w:after="120" w:line="360" w:lineRule="auto"/>
    </w:pPr>
    <w:rPr>
      <w:rFonts w:eastAsia="Times New Roman"/>
      <w:sz w:val="20"/>
      <w:szCs w:val="20"/>
      <w:lang w:eastAsia="lb-L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0E01B8"/>
    <w:pPr>
      <w:spacing w:before="120" w:after="120" w:line="360" w:lineRule="auto"/>
    </w:pPr>
    <w:rPr>
      <w:rFonts w:eastAsia="Times New Roman"/>
      <w:sz w:val="20"/>
      <w:szCs w:val="20"/>
      <w:lang w:eastAsia="lb-L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0E01B8"/>
    <w:pPr>
      <w:spacing w:before="120" w:after="120" w:line="360" w:lineRule="auto"/>
    </w:pPr>
    <w:rPr>
      <w:rFonts w:eastAsia="Times New Roman"/>
      <w:sz w:val="20"/>
      <w:szCs w:val="20"/>
      <w:lang w:eastAsia="lb-L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0E01B8"/>
    <w:pPr>
      <w:spacing w:before="120" w:after="120" w:line="360" w:lineRule="auto"/>
    </w:pPr>
    <w:rPr>
      <w:rFonts w:eastAsia="Times New Roman"/>
      <w:sz w:val="20"/>
      <w:szCs w:val="20"/>
      <w:lang w:eastAsia="lb-L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E01B8"/>
    <w:pPr>
      <w:spacing w:before="120" w:after="120" w:line="360" w:lineRule="auto"/>
    </w:pPr>
    <w:rPr>
      <w:rFonts w:eastAsia="Times New Roman"/>
      <w:sz w:val="20"/>
      <w:szCs w:val="20"/>
      <w:lang w:eastAsia="lb-L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0E01B8"/>
    <w:pPr>
      <w:spacing w:before="120" w:after="120" w:line="360" w:lineRule="auto"/>
    </w:pPr>
    <w:rPr>
      <w:rFonts w:eastAsia="Times New Roman"/>
      <w:sz w:val="20"/>
      <w:szCs w:val="20"/>
      <w:lang w:eastAsia="lb-L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0E01B8"/>
    <w:pPr>
      <w:spacing w:before="120" w:after="120" w:line="360" w:lineRule="auto"/>
    </w:pPr>
    <w:rPr>
      <w:rFonts w:eastAsia="Times New Roman"/>
      <w:b/>
      <w:bCs/>
      <w:sz w:val="20"/>
      <w:szCs w:val="20"/>
      <w:lang w:eastAsia="lb-L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0E01B8"/>
    <w:pPr>
      <w:spacing w:before="120" w:after="120" w:line="360" w:lineRule="auto"/>
    </w:pPr>
    <w:rPr>
      <w:rFonts w:eastAsia="Times New Roman"/>
      <w:sz w:val="20"/>
      <w:szCs w:val="20"/>
      <w:lang w:eastAsia="lb-L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E01B8"/>
    <w:pPr>
      <w:spacing w:before="120" w:after="120" w:line="360" w:lineRule="auto"/>
    </w:pPr>
    <w:rPr>
      <w:rFonts w:eastAsia="Times New Roman"/>
      <w:sz w:val="20"/>
      <w:szCs w:val="20"/>
      <w:lang w:eastAsia="lb-L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0E01B8"/>
    <w:pPr>
      <w:spacing w:before="120" w:after="120" w:line="360" w:lineRule="auto"/>
    </w:pPr>
    <w:rPr>
      <w:rFonts w:eastAsia="Times New Roman"/>
      <w:sz w:val="20"/>
      <w:szCs w:val="20"/>
      <w:lang w:eastAsia="lb-L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0E01B8"/>
    <w:pPr>
      <w:spacing w:before="120" w:after="120" w:line="360" w:lineRule="auto"/>
    </w:pPr>
    <w:rPr>
      <w:rFonts w:eastAsia="Times New Roman"/>
      <w:sz w:val="20"/>
      <w:szCs w:val="20"/>
      <w:lang w:eastAsia="lb-L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E01B8"/>
    <w:pPr>
      <w:spacing w:before="120" w:after="120" w:line="360" w:lineRule="auto"/>
    </w:pPr>
    <w:rPr>
      <w:rFonts w:eastAsia="Times New Roman"/>
      <w:sz w:val="20"/>
      <w:szCs w:val="20"/>
      <w:lang w:eastAsia="lb-L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E01B8"/>
    <w:pPr>
      <w:spacing w:before="120" w:after="120" w:line="360" w:lineRule="auto"/>
    </w:pPr>
    <w:rPr>
      <w:rFonts w:eastAsia="Times New Roman"/>
      <w:sz w:val="20"/>
      <w:szCs w:val="20"/>
      <w:lang w:eastAsia="lb-L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0E01B8"/>
    <w:pPr>
      <w:spacing w:before="120" w:after="120" w:line="360" w:lineRule="auto"/>
    </w:pPr>
    <w:rPr>
      <w:rFonts w:eastAsia="Times New Roman"/>
      <w:sz w:val="20"/>
      <w:szCs w:val="20"/>
      <w:lang w:eastAsia="lb-L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E01B8"/>
    <w:pPr>
      <w:spacing w:before="120" w:after="120" w:line="360" w:lineRule="auto"/>
    </w:pPr>
    <w:rPr>
      <w:rFonts w:eastAsia="Times New Roman"/>
      <w:sz w:val="20"/>
      <w:szCs w:val="20"/>
      <w:lang w:eastAsia="lb-L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E01B8"/>
    <w:pPr>
      <w:spacing w:before="120" w:after="120" w:line="360" w:lineRule="auto"/>
    </w:pPr>
    <w:rPr>
      <w:rFonts w:eastAsia="Times New Roman"/>
      <w:sz w:val="20"/>
      <w:szCs w:val="20"/>
      <w:lang w:eastAsia="lb-L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0E01B8"/>
    <w:pPr>
      <w:spacing w:before="120" w:after="120" w:line="360" w:lineRule="auto"/>
    </w:pPr>
    <w:rPr>
      <w:rFonts w:eastAsia="Times New Roman"/>
      <w:sz w:val="20"/>
      <w:szCs w:val="20"/>
      <w:lang w:eastAsia="lb-L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E01B8"/>
    <w:pPr>
      <w:spacing w:before="120" w:after="120" w:line="360" w:lineRule="auto"/>
    </w:pPr>
    <w:rPr>
      <w:rFonts w:eastAsia="Times New Roman"/>
      <w:sz w:val="20"/>
      <w:szCs w:val="20"/>
      <w:lang w:eastAsia="lb-L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E01B8"/>
    <w:pPr>
      <w:spacing w:before="120" w:after="120" w:line="360" w:lineRule="auto"/>
    </w:pPr>
    <w:rPr>
      <w:rFonts w:eastAsia="Times New Roman"/>
      <w:sz w:val="20"/>
      <w:szCs w:val="20"/>
      <w:lang w:eastAsia="lb-L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E01B8"/>
    <w:pPr>
      <w:spacing w:before="120" w:after="120" w:line="360" w:lineRule="auto"/>
    </w:pPr>
    <w:rPr>
      <w:rFonts w:eastAsia="Times New Roman"/>
      <w:sz w:val="20"/>
      <w:szCs w:val="20"/>
      <w:lang w:eastAsia="lb-L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E01B8"/>
    <w:pPr>
      <w:spacing w:before="120" w:after="120" w:line="360" w:lineRule="auto"/>
    </w:pPr>
    <w:rPr>
      <w:rFonts w:eastAsia="Times New Roman"/>
      <w:sz w:val="20"/>
      <w:szCs w:val="20"/>
      <w:lang w:eastAsia="lb-L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0E01B8"/>
    <w:pPr>
      <w:spacing w:before="120" w:after="120" w:line="360" w:lineRule="auto"/>
    </w:pPr>
    <w:rPr>
      <w:rFonts w:eastAsia="Times New Roman"/>
      <w:sz w:val="20"/>
      <w:szCs w:val="20"/>
      <w:lang w:eastAsia="lb-L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0E01B8"/>
    <w:pPr>
      <w:spacing w:before="120" w:after="120" w:line="360" w:lineRule="auto"/>
    </w:pPr>
    <w:rPr>
      <w:rFonts w:eastAsia="Times New Roman"/>
      <w:sz w:val="20"/>
      <w:szCs w:val="20"/>
      <w:lang w:eastAsia="lb-L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0E01B8"/>
    <w:pPr>
      <w:spacing w:before="120" w:after="120" w:line="360" w:lineRule="auto"/>
    </w:pPr>
    <w:rPr>
      <w:rFonts w:eastAsia="Times New Roman"/>
      <w:sz w:val="20"/>
      <w:szCs w:val="20"/>
      <w:lang w:eastAsia="lb-L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0E01B8"/>
    <w:pPr>
      <w:spacing w:before="120" w:after="120" w:line="360" w:lineRule="auto"/>
    </w:pPr>
    <w:rPr>
      <w:rFonts w:eastAsia="Times New Roman"/>
      <w:sz w:val="20"/>
      <w:szCs w:val="20"/>
      <w:lang w:eastAsia="lb-L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0E01B8"/>
    <w:pPr>
      <w:spacing w:before="120" w:after="120" w:line="360" w:lineRule="auto"/>
    </w:pPr>
    <w:rPr>
      <w:rFonts w:eastAsia="Times New Roman"/>
      <w:sz w:val="20"/>
      <w:szCs w:val="20"/>
      <w:lang w:eastAsia="lb-L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0E01B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0E01B8"/>
    <w:rPr>
      <w:rFonts w:ascii="Arial" w:hAnsi="Arial" w:cs="Arial"/>
      <w:b/>
      <w:bCs/>
      <w:kern w:val="28"/>
      <w:sz w:val="32"/>
      <w:szCs w:val="32"/>
      <w:lang w:val="fr-FR"/>
    </w:rPr>
  </w:style>
  <w:style w:type="paragraph" w:styleId="BalloonText">
    <w:name w:val="Balloon Text"/>
    <w:basedOn w:val="Normal"/>
    <w:link w:val="BalloonTextChar"/>
    <w:uiPriority w:val="99"/>
    <w:semiHidden/>
    <w:rsid w:val="000E01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01B8"/>
    <w:rPr>
      <w:rFonts w:ascii="Tahoma" w:hAnsi="Tahoma" w:cs="Tahoma"/>
      <w:sz w:val="16"/>
      <w:szCs w:val="16"/>
      <w:lang w:val="fr-FR"/>
    </w:rPr>
  </w:style>
  <w:style w:type="paragraph" w:styleId="Index1">
    <w:name w:val="index 1"/>
    <w:basedOn w:val="Normal"/>
    <w:next w:val="Normal"/>
    <w:autoRedefine/>
    <w:uiPriority w:val="99"/>
    <w:semiHidden/>
    <w:rsid w:val="000E01B8"/>
    <w:pPr>
      <w:spacing w:before="0" w:after="0" w:line="240" w:lineRule="auto"/>
      <w:ind w:left="240" w:hanging="240"/>
      <w:jc w:val="both"/>
    </w:pPr>
    <w:rPr>
      <w:b/>
      <w:lang w:val="en-US" w:eastAsia="en-GB"/>
    </w:rPr>
  </w:style>
  <w:style w:type="paragraph" w:styleId="Index2">
    <w:name w:val="index 2"/>
    <w:basedOn w:val="Normal"/>
    <w:next w:val="Normal"/>
    <w:autoRedefine/>
    <w:uiPriority w:val="99"/>
    <w:semiHidden/>
    <w:rsid w:val="000E01B8"/>
    <w:pPr>
      <w:spacing w:before="0" w:after="0" w:line="240" w:lineRule="auto"/>
      <w:ind w:left="480" w:hanging="240"/>
      <w:jc w:val="both"/>
    </w:pPr>
    <w:rPr>
      <w:lang w:eastAsia="en-GB"/>
    </w:rPr>
  </w:style>
  <w:style w:type="paragraph" w:styleId="Index3">
    <w:name w:val="index 3"/>
    <w:basedOn w:val="Normal"/>
    <w:next w:val="Normal"/>
    <w:autoRedefine/>
    <w:uiPriority w:val="99"/>
    <w:semiHidden/>
    <w:rsid w:val="000E01B8"/>
    <w:pPr>
      <w:spacing w:before="0" w:after="0" w:line="240" w:lineRule="auto"/>
      <w:ind w:left="720" w:hanging="240"/>
      <w:jc w:val="both"/>
    </w:pPr>
    <w:rPr>
      <w:lang w:eastAsia="en-GB"/>
    </w:rPr>
  </w:style>
  <w:style w:type="paragraph" w:styleId="Index4">
    <w:name w:val="index 4"/>
    <w:basedOn w:val="Normal"/>
    <w:next w:val="Normal"/>
    <w:autoRedefine/>
    <w:uiPriority w:val="99"/>
    <w:semiHidden/>
    <w:rsid w:val="000E01B8"/>
    <w:pPr>
      <w:spacing w:before="0" w:after="0" w:line="240" w:lineRule="auto"/>
      <w:ind w:left="960" w:hanging="240"/>
      <w:jc w:val="both"/>
    </w:pPr>
    <w:rPr>
      <w:lang w:eastAsia="en-GB"/>
    </w:rPr>
  </w:style>
  <w:style w:type="paragraph" w:styleId="Index5">
    <w:name w:val="index 5"/>
    <w:basedOn w:val="Normal"/>
    <w:next w:val="Normal"/>
    <w:autoRedefine/>
    <w:uiPriority w:val="99"/>
    <w:semiHidden/>
    <w:rsid w:val="000E01B8"/>
    <w:pPr>
      <w:spacing w:before="0" w:after="0" w:line="240" w:lineRule="auto"/>
      <w:ind w:left="1200" w:hanging="240"/>
      <w:jc w:val="both"/>
    </w:pPr>
    <w:rPr>
      <w:lang w:eastAsia="en-GB"/>
    </w:rPr>
  </w:style>
  <w:style w:type="paragraph" w:styleId="Index6">
    <w:name w:val="index 6"/>
    <w:basedOn w:val="Normal"/>
    <w:next w:val="Normal"/>
    <w:autoRedefine/>
    <w:uiPriority w:val="99"/>
    <w:semiHidden/>
    <w:rsid w:val="000E01B8"/>
    <w:pPr>
      <w:spacing w:before="0" w:after="0" w:line="240" w:lineRule="auto"/>
      <w:ind w:left="1440" w:hanging="240"/>
      <w:jc w:val="both"/>
    </w:pPr>
    <w:rPr>
      <w:lang w:eastAsia="en-GB"/>
    </w:rPr>
  </w:style>
  <w:style w:type="paragraph" w:styleId="Index7">
    <w:name w:val="index 7"/>
    <w:basedOn w:val="Normal"/>
    <w:next w:val="Normal"/>
    <w:autoRedefine/>
    <w:uiPriority w:val="99"/>
    <w:semiHidden/>
    <w:rsid w:val="000E01B8"/>
    <w:pPr>
      <w:spacing w:before="0" w:after="0" w:line="240" w:lineRule="auto"/>
      <w:ind w:left="1680" w:hanging="240"/>
      <w:jc w:val="both"/>
    </w:pPr>
    <w:rPr>
      <w:lang w:eastAsia="en-GB"/>
    </w:rPr>
  </w:style>
  <w:style w:type="paragraph" w:styleId="Index8">
    <w:name w:val="index 8"/>
    <w:basedOn w:val="Normal"/>
    <w:next w:val="Normal"/>
    <w:autoRedefine/>
    <w:uiPriority w:val="99"/>
    <w:semiHidden/>
    <w:rsid w:val="000E01B8"/>
    <w:pPr>
      <w:spacing w:before="0" w:after="0" w:line="240" w:lineRule="auto"/>
      <w:ind w:left="1920" w:hanging="240"/>
      <w:jc w:val="both"/>
    </w:pPr>
    <w:rPr>
      <w:lang w:eastAsia="en-GB"/>
    </w:rPr>
  </w:style>
  <w:style w:type="paragraph" w:styleId="Index9">
    <w:name w:val="index 9"/>
    <w:basedOn w:val="Normal"/>
    <w:next w:val="Normal"/>
    <w:autoRedefine/>
    <w:uiPriority w:val="99"/>
    <w:semiHidden/>
    <w:rsid w:val="000E01B8"/>
    <w:pPr>
      <w:spacing w:before="0" w:after="0" w:line="240" w:lineRule="auto"/>
      <w:ind w:left="2160" w:hanging="240"/>
      <w:jc w:val="both"/>
    </w:pPr>
    <w:rPr>
      <w:lang w:eastAsia="en-GB"/>
    </w:rPr>
  </w:style>
  <w:style w:type="paragraph" w:styleId="IndexHeading">
    <w:name w:val="index heading"/>
    <w:basedOn w:val="Normal"/>
    <w:next w:val="Index1"/>
    <w:uiPriority w:val="99"/>
    <w:semiHidden/>
    <w:rsid w:val="000E01B8"/>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jc w:val="both"/>
    </w:pPr>
    <w:rPr>
      <w:lang w:eastAsia="en-GB"/>
    </w:rPr>
  </w:style>
  <w:style w:type="paragraph" w:styleId="TableofFigures">
    <w:name w:val="table of figures"/>
    <w:basedOn w:val="Normal"/>
    <w:next w:val="Normal"/>
    <w:uiPriority w:val="99"/>
    <w:semiHidden/>
    <w:rsid w:val="000E01B8"/>
    <w:pPr>
      <w:spacing w:before="0" w:after="0" w:line="240" w:lineRule="auto"/>
      <w:ind w:left="480" w:hanging="480"/>
      <w:jc w:val="both"/>
    </w:pPr>
    <w:rPr>
      <w:lang w:eastAsia="en-GB"/>
    </w:rPr>
  </w:style>
  <w:style w:type="paragraph" w:customStyle="1" w:styleId="ATHeading1">
    <w:name w:val="AT Heading 1"/>
    <w:basedOn w:val="Normal"/>
    <w:next w:val="Normal"/>
    <w:autoRedefine/>
    <w:uiPriority w:val="99"/>
    <w:rsid w:val="000E01B8"/>
    <w:pPr>
      <w:keepNext/>
      <w:keepLines/>
      <w:numPr>
        <w:numId w:val="44"/>
      </w:numPr>
      <w:tabs>
        <w:tab w:val="clear" w:pos="360"/>
      </w:tabs>
      <w:spacing w:before="0" w:after="140" w:line="240" w:lineRule="auto"/>
      <w:ind w:left="510" w:hanging="510"/>
      <w:outlineLvl w:val="0"/>
    </w:pPr>
    <w:rPr>
      <w:b/>
      <w:sz w:val="28"/>
      <w:lang w:val="en-GB" w:eastAsia="en-GB"/>
    </w:rPr>
  </w:style>
  <w:style w:type="paragraph" w:customStyle="1" w:styleId="ATHeading2">
    <w:name w:val="AT Heading 2"/>
    <w:basedOn w:val="Normal"/>
    <w:next w:val="Normal"/>
    <w:uiPriority w:val="99"/>
    <w:rsid w:val="000E01B8"/>
    <w:pPr>
      <w:spacing w:line="240" w:lineRule="auto"/>
      <w:jc w:val="both"/>
      <w:outlineLvl w:val="1"/>
    </w:pPr>
    <w:rPr>
      <w:b/>
      <w:lang w:val="en-GB" w:eastAsia="en-GB"/>
    </w:rPr>
  </w:style>
  <w:style w:type="paragraph" w:customStyle="1" w:styleId="ATHeading3">
    <w:name w:val="AT Heading 3"/>
    <w:basedOn w:val="Normal"/>
    <w:next w:val="Normal"/>
    <w:uiPriority w:val="99"/>
    <w:rsid w:val="000E01B8"/>
    <w:pPr>
      <w:keepNext/>
      <w:keepLines/>
      <w:spacing w:line="240" w:lineRule="auto"/>
      <w:jc w:val="both"/>
      <w:outlineLvl w:val="2"/>
    </w:pPr>
    <w:rPr>
      <w:b/>
      <w:lang w:val="en-GB" w:eastAsia="en-GB"/>
    </w:rPr>
  </w:style>
  <w:style w:type="paragraph" w:customStyle="1" w:styleId="ATHeading4">
    <w:name w:val="AT Heading 4"/>
    <w:basedOn w:val="Normal"/>
    <w:next w:val="Normal"/>
    <w:uiPriority w:val="99"/>
    <w:rsid w:val="000E01B8"/>
    <w:pPr>
      <w:keepNext/>
      <w:keepLines/>
      <w:spacing w:line="240" w:lineRule="auto"/>
      <w:jc w:val="both"/>
    </w:pPr>
    <w:rPr>
      <w:b/>
      <w:i/>
      <w:lang w:val="en-GB" w:eastAsia="en-GB"/>
    </w:rPr>
  </w:style>
  <w:style w:type="paragraph" w:customStyle="1" w:styleId="ATHeading5">
    <w:name w:val="AT Heading 5"/>
    <w:basedOn w:val="Normal"/>
    <w:next w:val="Normal"/>
    <w:uiPriority w:val="99"/>
    <w:rsid w:val="000E01B8"/>
    <w:pPr>
      <w:keepNext/>
      <w:keepLines/>
      <w:spacing w:line="240" w:lineRule="auto"/>
      <w:jc w:val="both"/>
    </w:pPr>
    <w:rPr>
      <w:i/>
      <w:lang w:val="en-GB" w:eastAsia="en-GB"/>
    </w:rPr>
  </w:style>
  <w:style w:type="paragraph" w:customStyle="1" w:styleId="ATHeadingMotiv">
    <w:name w:val="AT Heading Motiv"/>
    <w:basedOn w:val="Normal"/>
    <w:next w:val="Normal"/>
    <w:autoRedefine/>
    <w:uiPriority w:val="99"/>
    <w:rsid w:val="000E01B8"/>
    <w:pPr>
      <w:keepNext/>
      <w:spacing w:before="60" w:after="60" w:line="240" w:lineRule="auto"/>
      <w:jc w:val="center"/>
    </w:pPr>
    <w:rPr>
      <w:i/>
      <w:lang w:val="en-GB" w:eastAsia="en-GB"/>
    </w:rPr>
  </w:style>
  <w:style w:type="paragraph" w:customStyle="1" w:styleId="ATTOCTitle">
    <w:name w:val="AT TOC Title"/>
    <w:basedOn w:val="Normal"/>
    <w:uiPriority w:val="99"/>
    <w:rsid w:val="000E01B8"/>
    <w:pPr>
      <w:keepNext/>
      <w:keepLines/>
      <w:spacing w:before="0" w:after="240" w:line="240" w:lineRule="auto"/>
      <w:jc w:val="center"/>
    </w:pPr>
    <w:rPr>
      <w:b/>
      <w:caps/>
      <w:sz w:val="28"/>
      <w:lang w:val="en-GB" w:eastAsia="en-GB"/>
    </w:rPr>
  </w:style>
  <w:style w:type="paragraph" w:customStyle="1" w:styleId="Titre1">
    <w:name w:val="Titre1"/>
    <w:basedOn w:val="Heading6"/>
    <w:uiPriority w:val="99"/>
    <w:rsid w:val="000E01B8"/>
    <w:pPr>
      <w:keepNext/>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jc w:val="center"/>
    </w:pPr>
    <w:rPr>
      <w:b w:val="0"/>
      <w:bCs w:val="0"/>
      <w:sz w:val="60"/>
      <w:szCs w:val="20"/>
      <w:lang w:eastAsia="en-GB"/>
    </w:rPr>
  </w:style>
  <w:style w:type="paragraph" w:customStyle="1" w:styleId="Titre2">
    <w:name w:val="Titre2"/>
    <w:basedOn w:val="Normal"/>
    <w:uiPriority w:val="99"/>
    <w:rsid w:val="000E01B8"/>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ind w:left="1701"/>
      <w:jc w:val="both"/>
    </w:pPr>
    <w:rPr>
      <w:rFonts w:ascii="Arial" w:hAnsi="Arial"/>
      <w:b/>
      <w:sz w:val="48"/>
      <w:lang w:eastAsia="en-GB"/>
    </w:rPr>
  </w:style>
  <w:style w:type="paragraph" w:customStyle="1" w:styleId="Par-number10">
    <w:name w:val="Par-number 1)"/>
    <w:basedOn w:val="Normal"/>
    <w:next w:val="Normal"/>
    <w:uiPriority w:val="99"/>
    <w:rsid w:val="000E01B8"/>
    <w:pPr>
      <w:widowControl w:val="0"/>
      <w:numPr>
        <w:numId w:val="3"/>
      </w:numPr>
      <w:tabs>
        <w:tab w:val="clear" w:pos="926"/>
        <w:tab w:val="num" w:pos="1080"/>
      </w:tabs>
      <w:spacing w:before="0" w:after="0"/>
      <w:ind w:left="1080"/>
    </w:pPr>
    <w:rPr>
      <w:lang w:eastAsia="en-GB"/>
    </w:rPr>
  </w:style>
  <w:style w:type="paragraph" w:customStyle="1" w:styleId="Par-bullet">
    <w:name w:val="Par-bullet"/>
    <w:basedOn w:val="Normal"/>
    <w:next w:val="Normal"/>
    <w:uiPriority w:val="99"/>
    <w:rsid w:val="000E01B8"/>
    <w:pPr>
      <w:widowControl w:val="0"/>
      <w:numPr>
        <w:numId w:val="1"/>
      </w:numPr>
      <w:spacing w:before="0" w:after="0"/>
    </w:pPr>
    <w:rPr>
      <w:lang w:eastAsia="en-GB"/>
    </w:rPr>
  </w:style>
  <w:style w:type="paragraph" w:customStyle="1" w:styleId="Par-equal">
    <w:name w:val="Par-equal"/>
    <w:basedOn w:val="Normal"/>
    <w:next w:val="Normal"/>
    <w:uiPriority w:val="99"/>
    <w:rsid w:val="000E01B8"/>
    <w:pPr>
      <w:widowControl w:val="0"/>
      <w:numPr>
        <w:numId w:val="2"/>
      </w:numPr>
      <w:tabs>
        <w:tab w:val="clear" w:pos="643"/>
        <w:tab w:val="num" w:pos="720"/>
      </w:tabs>
      <w:spacing w:before="0" w:after="0"/>
      <w:ind w:left="720"/>
    </w:pPr>
    <w:rPr>
      <w:lang w:eastAsia="en-GB"/>
    </w:rPr>
  </w:style>
  <w:style w:type="paragraph" w:customStyle="1" w:styleId="Par-number1">
    <w:name w:val="Par-number 1."/>
    <w:basedOn w:val="Normal"/>
    <w:next w:val="Normal"/>
    <w:uiPriority w:val="99"/>
    <w:rsid w:val="000E01B8"/>
    <w:pPr>
      <w:widowControl w:val="0"/>
      <w:numPr>
        <w:numId w:val="47"/>
      </w:numPr>
      <w:tabs>
        <w:tab w:val="clear" w:pos="567"/>
      </w:tabs>
      <w:spacing w:before="0" w:after="0"/>
      <w:ind w:left="0" w:firstLine="0"/>
    </w:pPr>
    <w:rPr>
      <w:lang w:eastAsia="en-GB"/>
    </w:rPr>
  </w:style>
  <w:style w:type="paragraph" w:customStyle="1" w:styleId="NoteHead">
    <w:name w:val="NoteHead"/>
    <w:basedOn w:val="Normal"/>
    <w:next w:val="Normal"/>
    <w:uiPriority w:val="99"/>
    <w:rsid w:val="000E01B8"/>
    <w:pPr>
      <w:numPr>
        <w:numId w:val="45"/>
      </w:numPr>
      <w:tabs>
        <w:tab w:val="clear" w:pos="567"/>
      </w:tabs>
      <w:spacing w:before="720" w:after="720" w:line="240" w:lineRule="auto"/>
      <w:ind w:left="0" w:firstLine="0"/>
      <w:jc w:val="center"/>
    </w:pPr>
    <w:rPr>
      <w:b/>
      <w:smallCaps/>
      <w:lang w:eastAsia="en-GB"/>
    </w:rPr>
  </w:style>
  <w:style w:type="paragraph" w:customStyle="1" w:styleId="PGLLcode">
    <w:name w:val="PG LL code"/>
    <w:basedOn w:val="Normal"/>
    <w:next w:val="Normal"/>
    <w:uiPriority w:val="99"/>
    <w:rsid w:val="000E01B8"/>
    <w:pPr>
      <w:numPr>
        <w:numId w:val="46"/>
      </w:numPr>
      <w:tabs>
        <w:tab w:val="clear" w:pos="567"/>
        <w:tab w:val="right" w:pos="9299"/>
      </w:tabs>
      <w:spacing w:before="0" w:after="0" w:line="240" w:lineRule="auto"/>
      <w:ind w:left="0" w:firstLine="0"/>
      <w:jc w:val="both"/>
    </w:pPr>
    <w:rPr>
      <w:rFonts w:ascii="Arial" w:hAnsi="Arial"/>
      <w:b/>
      <w:sz w:val="48"/>
      <w:lang w:eastAsia="en-GB"/>
    </w:rPr>
  </w:style>
  <w:style w:type="paragraph" w:customStyle="1" w:styleId="PGreferences">
    <w:name w:val="PG references"/>
    <w:basedOn w:val="Normal"/>
    <w:next w:val="Normal"/>
    <w:uiPriority w:val="99"/>
    <w:rsid w:val="000E01B8"/>
    <w:pPr>
      <w:tabs>
        <w:tab w:val="right" w:pos="9299"/>
      </w:tabs>
      <w:spacing w:before="0" w:after="0" w:line="240" w:lineRule="auto"/>
      <w:jc w:val="both"/>
    </w:pPr>
    <w:rPr>
      <w:rFonts w:ascii="Arial" w:hAnsi="Arial"/>
      <w:lang w:eastAsia="en-GB"/>
    </w:rPr>
  </w:style>
  <w:style w:type="paragraph" w:customStyle="1" w:styleId="Par-number11">
    <w:name w:val="Par-number (1)"/>
    <w:basedOn w:val="Normal"/>
    <w:next w:val="Normal"/>
    <w:uiPriority w:val="99"/>
    <w:rsid w:val="000E01B8"/>
    <w:pPr>
      <w:widowControl w:val="0"/>
      <w:numPr>
        <w:numId w:val="5"/>
      </w:numPr>
      <w:tabs>
        <w:tab w:val="clear" w:pos="360"/>
        <w:tab w:val="num" w:pos="850"/>
      </w:tabs>
      <w:spacing w:before="0" w:after="0"/>
      <w:ind w:left="850" w:hanging="850"/>
    </w:pPr>
    <w:rPr>
      <w:lang w:eastAsia="en-GB"/>
    </w:rPr>
  </w:style>
  <w:style w:type="paragraph" w:customStyle="1" w:styleId="Par-numbera">
    <w:name w:val="Par-number a)"/>
    <w:basedOn w:val="Normal"/>
    <w:next w:val="Normal"/>
    <w:uiPriority w:val="99"/>
    <w:rsid w:val="000E01B8"/>
    <w:pPr>
      <w:widowControl w:val="0"/>
      <w:spacing w:before="0" w:after="0"/>
    </w:pPr>
    <w:rPr>
      <w:lang w:eastAsia="en-GB"/>
    </w:rPr>
  </w:style>
  <w:style w:type="paragraph" w:customStyle="1" w:styleId="Par-dash">
    <w:name w:val="Par-dash"/>
    <w:basedOn w:val="Normal"/>
    <w:next w:val="Normal"/>
    <w:uiPriority w:val="99"/>
    <w:rsid w:val="000E01B8"/>
    <w:pPr>
      <w:widowControl w:val="0"/>
      <w:numPr>
        <w:numId w:val="4"/>
      </w:numPr>
      <w:tabs>
        <w:tab w:val="clear" w:pos="1209"/>
        <w:tab w:val="num" w:pos="1440"/>
      </w:tabs>
      <w:spacing w:before="0" w:after="0"/>
      <w:ind w:left="1440"/>
    </w:pPr>
    <w:rPr>
      <w:lang w:eastAsia="en-GB"/>
    </w:rPr>
  </w:style>
  <w:style w:type="paragraph" w:customStyle="1" w:styleId="Fichefinanciretitre">
    <w:name w:val="Fiche financière titre"/>
    <w:basedOn w:val="Normal"/>
    <w:next w:val="Normal"/>
    <w:uiPriority w:val="99"/>
    <w:rsid w:val="000E01B8"/>
    <w:pPr>
      <w:spacing w:line="240" w:lineRule="auto"/>
      <w:jc w:val="center"/>
    </w:pPr>
    <w:rPr>
      <w:b/>
      <w:u w:val="single"/>
      <w:lang w:eastAsia="en-GB"/>
    </w:rPr>
  </w:style>
  <w:style w:type="paragraph" w:customStyle="1" w:styleId="FichedimpactPMEtitre">
    <w:name w:val="Fiche d'impact PME titre"/>
    <w:basedOn w:val="Normal"/>
    <w:next w:val="Normal"/>
    <w:uiPriority w:val="99"/>
    <w:rsid w:val="000E01B8"/>
    <w:pPr>
      <w:spacing w:line="240" w:lineRule="auto"/>
      <w:jc w:val="center"/>
    </w:pPr>
    <w:rPr>
      <w:b/>
      <w:lang w:eastAsia="en-GB"/>
    </w:rPr>
  </w:style>
  <w:style w:type="paragraph" w:customStyle="1" w:styleId="PGsubject">
    <w:name w:val="PG subject"/>
    <w:basedOn w:val="Normal"/>
    <w:next w:val="Normal"/>
    <w:uiPriority w:val="99"/>
    <w:rsid w:val="000E01B8"/>
    <w:pPr>
      <w:widowControl w:val="0"/>
      <w:spacing w:before="0" w:after="0" w:line="240" w:lineRule="auto"/>
      <w:ind w:left="1871"/>
    </w:pPr>
    <w:rPr>
      <w:lang w:val="en-GB"/>
    </w:rPr>
  </w:style>
  <w:style w:type="character" w:customStyle="1" w:styleId="HideTWBExt">
    <w:name w:val="HideTWBExt"/>
    <w:basedOn w:val="DefaultParagraphFont"/>
    <w:uiPriority w:val="99"/>
    <w:rsid w:val="000E01B8"/>
    <w:rPr>
      <w:rFonts w:ascii="Arial" w:hAnsi="Arial" w:cs="Times New Roman"/>
      <w:noProof/>
      <w:vanish/>
      <w:color w:val="000080"/>
      <w:sz w:val="20"/>
    </w:rPr>
  </w:style>
  <w:style w:type="paragraph" w:customStyle="1" w:styleId="Normal12a12b">
    <w:name w:val="Normal12a12b"/>
    <w:basedOn w:val="Normal"/>
    <w:uiPriority w:val="99"/>
    <w:rsid w:val="000E01B8"/>
    <w:pPr>
      <w:widowControl w:val="0"/>
      <w:spacing w:before="240" w:after="240" w:line="240" w:lineRule="auto"/>
    </w:pPr>
    <w:rPr>
      <w:lang w:eastAsia="en-GB"/>
    </w:rPr>
  </w:style>
  <w:style w:type="paragraph" w:customStyle="1" w:styleId="ProjRap">
    <w:name w:val="ProjRap"/>
    <w:basedOn w:val="Normal"/>
    <w:uiPriority w:val="99"/>
    <w:rsid w:val="000E01B8"/>
    <w:pPr>
      <w:widowControl w:val="0"/>
      <w:tabs>
        <w:tab w:val="right" w:pos="9356"/>
      </w:tabs>
      <w:spacing w:before="0" w:after="0" w:line="240" w:lineRule="auto"/>
    </w:pPr>
    <w:rPr>
      <w:b/>
      <w:lang w:eastAsia="en-GB"/>
    </w:rPr>
  </w:style>
  <w:style w:type="paragraph" w:customStyle="1" w:styleId="Normal12">
    <w:name w:val="Normal12"/>
    <w:basedOn w:val="Normal"/>
    <w:uiPriority w:val="99"/>
    <w:rsid w:val="000E01B8"/>
    <w:pPr>
      <w:widowControl w:val="0"/>
      <w:spacing w:before="0" w:after="240" w:line="240" w:lineRule="auto"/>
    </w:pPr>
    <w:rPr>
      <w:lang w:eastAsia="en-GB"/>
    </w:rPr>
  </w:style>
  <w:style w:type="paragraph" w:customStyle="1" w:styleId="Footer2">
    <w:name w:val="Footer2"/>
    <w:basedOn w:val="Normal12"/>
    <w:uiPriority w:val="99"/>
    <w:rsid w:val="000E01B8"/>
    <w:pPr>
      <w:tabs>
        <w:tab w:val="right" w:pos="9923"/>
      </w:tabs>
      <w:ind w:left="-851"/>
    </w:pPr>
    <w:rPr>
      <w:rFonts w:ascii="Arial" w:hAnsi="Arial"/>
      <w:b/>
      <w:sz w:val="48"/>
    </w:rPr>
  </w:style>
  <w:style w:type="character" w:customStyle="1" w:styleId="HideTWBInt">
    <w:name w:val="HideTWBInt"/>
    <w:basedOn w:val="DefaultParagraphFont"/>
    <w:uiPriority w:val="99"/>
    <w:rsid w:val="000E01B8"/>
    <w:rPr>
      <w:rFonts w:cs="Times New Roman"/>
      <w:vanish/>
      <w:color w:val="808080"/>
    </w:rPr>
  </w:style>
  <w:style w:type="paragraph" w:customStyle="1" w:styleId="NormalBold">
    <w:name w:val="NormalBold"/>
    <w:basedOn w:val="Normal"/>
    <w:link w:val="NormalBoldChar"/>
    <w:uiPriority w:val="99"/>
    <w:rsid w:val="000E01B8"/>
    <w:pPr>
      <w:widowControl w:val="0"/>
      <w:spacing w:before="0" w:after="0" w:line="240" w:lineRule="auto"/>
    </w:pPr>
    <w:rPr>
      <w:b/>
      <w:lang w:eastAsia="en-GB"/>
    </w:rPr>
  </w:style>
  <w:style w:type="paragraph" w:customStyle="1" w:styleId="Olang">
    <w:name w:val="Olang"/>
    <w:basedOn w:val="Normal12a12b"/>
    <w:uiPriority w:val="99"/>
    <w:rsid w:val="000E01B8"/>
    <w:pPr>
      <w:jc w:val="right"/>
    </w:pPr>
  </w:style>
  <w:style w:type="paragraph" w:customStyle="1" w:styleId="NormalCentreKeep12b">
    <w:name w:val="NormalCentreKeep12b"/>
    <w:basedOn w:val="Normal12"/>
    <w:uiPriority w:val="99"/>
    <w:rsid w:val="000E01B8"/>
    <w:pPr>
      <w:keepNext/>
      <w:spacing w:before="240" w:after="0"/>
      <w:jc w:val="center"/>
    </w:pPr>
  </w:style>
  <w:style w:type="paragraph" w:customStyle="1" w:styleId="NormalCentreKeep">
    <w:name w:val="NormalCentreKeep"/>
    <w:basedOn w:val="Normal"/>
    <w:uiPriority w:val="99"/>
    <w:rsid w:val="000E01B8"/>
    <w:pPr>
      <w:keepNext/>
      <w:widowControl w:val="0"/>
      <w:spacing w:before="0" w:after="0" w:line="240" w:lineRule="auto"/>
      <w:jc w:val="center"/>
    </w:pPr>
    <w:rPr>
      <w:noProof/>
      <w:lang w:eastAsia="en-GB"/>
    </w:rPr>
  </w:style>
  <w:style w:type="paragraph" w:customStyle="1" w:styleId="Normal12Centre">
    <w:name w:val="Normal12Centre"/>
    <w:basedOn w:val="Normal12"/>
    <w:uiPriority w:val="99"/>
    <w:rsid w:val="000E01B8"/>
    <w:pPr>
      <w:jc w:val="center"/>
    </w:pPr>
    <w:rPr>
      <w:noProof/>
    </w:rPr>
  </w:style>
  <w:style w:type="paragraph" w:customStyle="1" w:styleId="Normal24b12aBoldItalic">
    <w:name w:val="Normal24b12aBoldItalic"/>
    <w:basedOn w:val="Normal12a12b"/>
    <w:uiPriority w:val="99"/>
    <w:rsid w:val="000E01B8"/>
    <w:pPr>
      <w:spacing w:before="480"/>
    </w:pPr>
    <w:rPr>
      <w:b/>
      <w:i/>
      <w:szCs w:val="24"/>
    </w:rPr>
  </w:style>
  <w:style w:type="paragraph" w:customStyle="1" w:styleId="ZDateAM">
    <w:name w:val="ZDateAM"/>
    <w:basedOn w:val="Normal"/>
    <w:uiPriority w:val="99"/>
    <w:rsid w:val="000E01B8"/>
    <w:pPr>
      <w:widowControl w:val="0"/>
      <w:tabs>
        <w:tab w:val="right" w:pos="9356"/>
      </w:tabs>
      <w:spacing w:before="0" w:after="0" w:line="240" w:lineRule="auto"/>
    </w:pPr>
    <w:rPr>
      <w:lang w:eastAsia="en-GB"/>
    </w:rPr>
  </w:style>
  <w:style w:type="paragraph" w:customStyle="1" w:styleId="Normal12Bold">
    <w:name w:val="Normal12Bold"/>
    <w:basedOn w:val="Normal12"/>
    <w:uiPriority w:val="99"/>
    <w:rsid w:val="000E01B8"/>
    <w:rPr>
      <w:b/>
    </w:rPr>
  </w:style>
  <w:style w:type="paragraph" w:customStyle="1" w:styleId="Normal24">
    <w:name w:val="Normal24"/>
    <w:basedOn w:val="Normal"/>
    <w:uiPriority w:val="99"/>
    <w:rsid w:val="000E01B8"/>
    <w:pPr>
      <w:widowControl w:val="0"/>
      <w:spacing w:before="0" w:after="480" w:line="240" w:lineRule="auto"/>
    </w:pPr>
    <w:rPr>
      <w:lang w:eastAsia="en-GB"/>
    </w:rPr>
  </w:style>
  <w:style w:type="paragraph" w:customStyle="1" w:styleId="Normal12a12bKeep">
    <w:name w:val="Normal12a12bKeep"/>
    <w:basedOn w:val="Normal"/>
    <w:uiPriority w:val="99"/>
    <w:rsid w:val="000E01B8"/>
    <w:pPr>
      <w:keepNext/>
      <w:widowControl w:val="0"/>
      <w:spacing w:before="240" w:after="240" w:line="240" w:lineRule="auto"/>
    </w:pPr>
    <w:rPr>
      <w:lang w:eastAsia="en-GB"/>
    </w:rPr>
  </w:style>
  <w:style w:type="paragraph" w:customStyle="1" w:styleId="Normal12Keep">
    <w:name w:val="Normal12Keep"/>
    <w:basedOn w:val="Normal12"/>
    <w:uiPriority w:val="99"/>
    <w:rsid w:val="000E01B8"/>
    <w:pPr>
      <w:keepNext/>
    </w:pPr>
  </w:style>
  <w:style w:type="paragraph" w:customStyle="1" w:styleId="NormalKeep">
    <w:name w:val="NormalKeep"/>
    <w:basedOn w:val="Normal"/>
    <w:uiPriority w:val="99"/>
    <w:rsid w:val="000E01B8"/>
    <w:pPr>
      <w:keepNext/>
      <w:widowControl w:val="0"/>
      <w:spacing w:before="0" w:after="0" w:line="240" w:lineRule="auto"/>
    </w:pPr>
    <w:rPr>
      <w:lang w:eastAsia="en-GB"/>
    </w:rPr>
  </w:style>
  <w:style w:type="paragraph" w:customStyle="1" w:styleId="Normal12Hanging">
    <w:name w:val="Normal12Hanging"/>
    <w:basedOn w:val="Normal12"/>
    <w:uiPriority w:val="99"/>
    <w:rsid w:val="000E01B8"/>
    <w:pPr>
      <w:ind w:left="357" w:hanging="357"/>
    </w:pPr>
  </w:style>
  <w:style w:type="paragraph" w:customStyle="1" w:styleId="JustificationTitle">
    <w:name w:val="JustificationTitle"/>
    <w:basedOn w:val="Normal"/>
    <w:next w:val="Normal12"/>
    <w:uiPriority w:val="99"/>
    <w:rsid w:val="000E01B8"/>
    <w:pPr>
      <w:keepNext/>
      <w:widowControl w:val="0"/>
      <w:spacing w:before="240" w:after="240" w:line="240" w:lineRule="auto"/>
      <w:jc w:val="center"/>
    </w:pPr>
    <w:rPr>
      <w:i/>
      <w:lang w:eastAsia="en-GB"/>
    </w:rPr>
  </w:style>
  <w:style w:type="character" w:customStyle="1" w:styleId="added">
    <w:name w:val="added"/>
    <w:basedOn w:val="DefaultParagraphFont"/>
    <w:uiPriority w:val="99"/>
    <w:rsid w:val="000E01B8"/>
    <w:rPr>
      <w:rFonts w:cs="Times New Roman"/>
      <w:b/>
      <w:i/>
      <w:lang w:val="en-US"/>
    </w:rPr>
  </w:style>
  <w:style w:type="paragraph" w:customStyle="1" w:styleId="Justification">
    <w:name w:val="Justification"/>
    <w:basedOn w:val="Normal12"/>
    <w:uiPriority w:val="99"/>
    <w:rsid w:val="000E01B8"/>
    <w:rPr>
      <w:i/>
    </w:rPr>
  </w:style>
  <w:style w:type="paragraph" w:customStyle="1" w:styleId="Normal6">
    <w:name w:val="Normal6"/>
    <w:basedOn w:val="Normal"/>
    <w:link w:val="Normal6Char"/>
    <w:uiPriority w:val="99"/>
    <w:rsid w:val="000E01B8"/>
    <w:pPr>
      <w:widowControl w:val="0"/>
      <w:spacing w:before="0" w:line="240" w:lineRule="auto"/>
    </w:pPr>
    <w:rPr>
      <w:noProof/>
      <w:lang w:eastAsia="en-GB"/>
    </w:rPr>
  </w:style>
  <w:style w:type="paragraph" w:customStyle="1" w:styleId="CrossRef">
    <w:name w:val="CrossRef"/>
    <w:basedOn w:val="Normal"/>
    <w:uiPriority w:val="99"/>
    <w:rsid w:val="000E01B8"/>
    <w:pPr>
      <w:keepNext/>
      <w:widowControl w:val="0"/>
      <w:spacing w:before="240" w:after="0" w:line="240" w:lineRule="auto"/>
      <w:jc w:val="center"/>
    </w:pPr>
    <w:rPr>
      <w:i/>
      <w:lang w:eastAsia="en-GB"/>
    </w:rPr>
  </w:style>
  <w:style w:type="paragraph" w:customStyle="1" w:styleId="Normal12Italic">
    <w:name w:val="Normal12Italic"/>
    <w:basedOn w:val="Normal"/>
    <w:uiPriority w:val="99"/>
    <w:rsid w:val="000E01B8"/>
    <w:pPr>
      <w:widowControl w:val="0"/>
      <w:spacing w:before="0" w:after="240" w:line="240" w:lineRule="auto"/>
    </w:pPr>
    <w:rPr>
      <w:i/>
      <w:noProof/>
      <w:lang w:eastAsia="en-GB"/>
    </w:rPr>
  </w:style>
  <w:style w:type="character" w:customStyle="1" w:styleId="NormalBoldChar">
    <w:name w:val="NormalBold Char"/>
    <w:basedOn w:val="DefaultParagraphFont"/>
    <w:link w:val="NormalBold"/>
    <w:uiPriority w:val="99"/>
    <w:locked/>
    <w:rsid w:val="000E01B8"/>
    <w:rPr>
      <w:rFonts w:eastAsia="Times New Roman" w:cs="Times New Roman"/>
      <w:b/>
      <w:sz w:val="20"/>
      <w:szCs w:val="20"/>
      <w:lang w:val="fr-FR" w:eastAsia="en-GB"/>
    </w:rPr>
  </w:style>
  <w:style w:type="character" w:customStyle="1" w:styleId="Normal6Char">
    <w:name w:val="Normal6 Char"/>
    <w:basedOn w:val="DefaultParagraphFont"/>
    <w:link w:val="Normal6"/>
    <w:uiPriority w:val="99"/>
    <w:locked/>
    <w:rsid w:val="000E01B8"/>
    <w:rPr>
      <w:rFonts w:eastAsia="Times New Roman" w:cs="Times New Roman"/>
      <w:noProof/>
      <w:sz w:val="20"/>
      <w:szCs w:val="20"/>
      <w:lang w:val="fr-FR" w:eastAsia="en-GB"/>
    </w:rPr>
  </w:style>
  <w:style w:type="paragraph" w:customStyle="1" w:styleId="ColumnHeading">
    <w:name w:val="ColumnHeading"/>
    <w:basedOn w:val="Normal"/>
    <w:uiPriority w:val="99"/>
    <w:rsid w:val="000E01B8"/>
    <w:pPr>
      <w:widowControl w:val="0"/>
      <w:spacing w:before="0" w:after="240" w:line="240" w:lineRule="auto"/>
      <w:jc w:val="center"/>
    </w:pPr>
    <w:rPr>
      <w:u w:val="single"/>
      <w:lang w:eastAsia="en-GB"/>
    </w:rPr>
  </w:style>
  <w:style w:type="paragraph" w:customStyle="1" w:styleId="AMNumberTabs">
    <w:name w:val="AMNumberTabs"/>
    <w:basedOn w:val="Normal"/>
    <w:uiPriority w:val="99"/>
    <w:rsid w:val="000E01B8"/>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lang w:eastAsia="en-GB"/>
    </w:rPr>
  </w:style>
  <w:style w:type="paragraph" w:customStyle="1" w:styleId="Normal12Tab">
    <w:name w:val="Normal12Tab"/>
    <w:basedOn w:val="Normal"/>
    <w:uiPriority w:val="99"/>
    <w:rsid w:val="000E01B8"/>
    <w:pPr>
      <w:widowControl w:val="0"/>
      <w:tabs>
        <w:tab w:val="left" w:pos="4536"/>
      </w:tabs>
      <w:spacing w:before="0" w:after="240" w:line="240" w:lineRule="auto"/>
    </w:pPr>
    <w:rPr>
      <w:lang w:eastAsia="en-GB"/>
    </w:rPr>
  </w:style>
  <w:style w:type="paragraph" w:customStyle="1" w:styleId="AMClosing">
    <w:name w:val="AMClosing"/>
    <w:basedOn w:val="Normal"/>
    <w:uiPriority w:val="99"/>
    <w:rsid w:val="000E01B8"/>
    <w:pPr>
      <w:widowControl w:val="0"/>
      <w:spacing w:before="480" w:after="720" w:line="240" w:lineRule="auto"/>
    </w:pPr>
    <w:rPr>
      <w:lang w:eastAsia="en-GB"/>
    </w:rPr>
  </w:style>
  <w:style w:type="paragraph" w:customStyle="1" w:styleId="ConsHeading">
    <w:name w:val="ConsHeading"/>
    <w:basedOn w:val="Normal12Centre"/>
    <w:uiPriority w:val="99"/>
    <w:rsid w:val="000E01B8"/>
    <w:pPr>
      <w:spacing w:before="720"/>
    </w:pPr>
  </w:style>
  <w:style w:type="paragraph" w:customStyle="1" w:styleId="Fichefinancireattributiontitre">
    <w:name w:val="Fiche financière (attribution) titre"/>
    <w:basedOn w:val="Normal"/>
    <w:next w:val="Normal"/>
    <w:uiPriority w:val="99"/>
    <w:rsid w:val="000E01B8"/>
    <w:pPr>
      <w:spacing w:line="240" w:lineRule="auto"/>
      <w:jc w:val="center"/>
    </w:pPr>
    <w:rPr>
      <w:b/>
      <w:szCs w:val="24"/>
      <w:u w:val="single"/>
      <w:lang w:eastAsia="en-GB"/>
    </w:rPr>
  </w:style>
  <w:style w:type="paragraph" w:customStyle="1" w:styleId="CharChar1">
    <w:name w:val="Char Char1"/>
    <w:basedOn w:val="Normal"/>
    <w:uiPriority w:val="99"/>
    <w:rsid w:val="000E01B8"/>
    <w:pPr>
      <w:spacing w:before="0" w:after="0" w:line="240" w:lineRule="auto"/>
    </w:pPr>
    <w:rPr>
      <w:szCs w:val="24"/>
      <w:lang w:val="pl-PL" w:eastAsia="pl-PL"/>
    </w:rPr>
  </w:style>
  <w:style w:type="paragraph" w:customStyle="1" w:styleId="contents">
    <w:name w:val="contents"/>
    <w:basedOn w:val="Normal"/>
    <w:uiPriority w:val="99"/>
    <w:rsid w:val="000E01B8"/>
    <w:pPr>
      <w:spacing w:before="100" w:beforeAutospacing="1" w:after="100" w:afterAutospacing="1" w:line="240" w:lineRule="auto"/>
    </w:pPr>
    <w:rPr>
      <w:szCs w:val="24"/>
      <w:lang w:val="en-GB" w:eastAsia="en-GB"/>
    </w:rPr>
  </w:style>
  <w:style w:type="paragraph" w:customStyle="1" w:styleId="considti">
    <w:name w:val="consid.ti"/>
    <w:basedOn w:val="Normal"/>
    <w:uiPriority w:val="99"/>
    <w:rsid w:val="000E01B8"/>
    <w:pPr>
      <w:keepNext/>
      <w:autoSpaceDE w:val="0"/>
      <w:autoSpaceDN w:val="0"/>
      <w:adjustRightInd w:val="0"/>
      <w:spacing w:after="0" w:line="200" w:lineRule="exact"/>
      <w:jc w:val="center"/>
    </w:pPr>
    <w:rPr>
      <w:b/>
      <w:bCs/>
      <w:sz w:val="18"/>
      <w:szCs w:val="18"/>
      <w:lang w:val="en-GB" w:eastAsia="fr-FR"/>
    </w:rPr>
  </w:style>
  <w:style w:type="character" w:customStyle="1" w:styleId="hl1">
    <w:name w:val="hl1"/>
    <w:basedOn w:val="DefaultParagraphFont"/>
    <w:uiPriority w:val="99"/>
    <w:rsid w:val="000E01B8"/>
    <w:rPr>
      <w:rFonts w:cs="Times New Roman"/>
    </w:rPr>
  </w:style>
  <w:style w:type="character" w:customStyle="1" w:styleId="hl2">
    <w:name w:val="hl2"/>
    <w:basedOn w:val="DefaultParagraphFont"/>
    <w:uiPriority w:val="99"/>
    <w:rsid w:val="000E01B8"/>
    <w:rPr>
      <w:rFonts w:cs="Times New Roman"/>
    </w:rPr>
  </w:style>
  <w:style w:type="numbering" w:styleId="111111">
    <w:name w:val="Outline List 2"/>
    <w:basedOn w:val="NoList"/>
    <w:uiPriority w:val="99"/>
    <w:semiHidden/>
    <w:unhideWhenUsed/>
    <w:rsid w:val="000E278E"/>
    <w:pPr>
      <w:numPr>
        <w:numId w:val="39"/>
      </w:numPr>
    </w:pPr>
  </w:style>
  <w:style w:type="numbering" w:styleId="ArticleSection">
    <w:name w:val="Outline List 3"/>
    <w:basedOn w:val="NoList"/>
    <w:uiPriority w:val="99"/>
    <w:semiHidden/>
    <w:unhideWhenUsed/>
    <w:rsid w:val="000E278E"/>
    <w:pPr>
      <w:numPr>
        <w:numId w:val="41"/>
      </w:numPr>
    </w:pPr>
  </w:style>
  <w:style w:type="numbering" w:styleId="1ai">
    <w:name w:val="Outline List 1"/>
    <w:basedOn w:val="NoList"/>
    <w:uiPriority w:val="99"/>
    <w:semiHidden/>
    <w:unhideWhenUsed/>
    <w:rsid w:val="000E278E"/>
    <w:pPr>
      <w:numPr>
        <w:numId w:val="4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80</Pages>
  <Words>17246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loi</dc:title>
  <dc:subject/>
  <dc:creator>lwilmes</dc:creator>
  <cp:keywords/>
  <dc:description/>
  <cp:lastModifiedBy>hro</cp:lastModifiedBy>
  <cp:revision>2</cp:revision>
  <dcterms:created xsi:type="dcterms:W3CDTF">2010-02-22T13:46:00Z</dcterms:created>
  <dcterms:modified xsi:type="dcterms:W3CDTF">2010-02-22T13:46:00Z</dcterms:modified>
</cp:coreProperties>
</file>