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55" w:rsidRPr="00F34119" w:rsidRDefault="008F3B55" w:rsidP="0046378C">
      <w:pPr>
        <w:rPr>
          <w:rFonts w:ascii="Verdana" w:hAnsi="Verdana"/>
          <w:b/>
          <w:lang w:val="de-DE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:rsidR="0046378C" w:rsidRPr="00AC0A09" w:rsidRDefault="0046378C" w:rsidP="00AC0A09">
      <w:pPr>
        <w:jc w:val="both"/>
        <w:rPr>
          <w:rFonts w:ascii="Verdana" w:hAnsi="Verdana"/>
          <w:sz w:val="21"/>
          <w:szCs w:val="21"/>
          <w:lang w:val="de-DE"/>
        </w:rPr>
      </w:pPr>
      <w:r w:rsidRPr="00AC0A09">
        <w:rPr>
          <w:rFonts w:ascii="Verdana" w:hAnsi="Verdana"/>
          <w:b/>
          <w:sz w:val="21"/>
          <w:szCs w:val="21"/>
          <w:lang w:val="de-DE"/>
        </w:rPr>
        <w:t>Der europäische Unternehmensförderpreis</w:t>
      </w:r>
      <w:r w:rsidRPr="00AC0A09">
        <w:rPr>
          <w:rFonts w:ascii="Verdana" w:hAnsi="Verdana"/>
          <w:sz w:val="21"/>
          <w:szCs w:val="21"/>
          <w:lang w:val="de-DE"/>
        </w:rPr>
        <w:t xml:space="preserve"> identifiziert und würdigt die erfolgreichsten Förderer von Unternehmergeist und Unternehmertum in Europa, präsentiert die besten </w:t>
      </w:r>
      <w:r w:rsidR="0034524D" w:rsidRPr="00AC0A09">
        <w:rPr>
          <w:rFonts w:ascii="Verdana" w:hAnsi="Verdana"/>
          <w:sz w:val="21"/>
          <w:szCs w:val="21"/>
          <w:lang w:val="de-DE"/>
        </w:rPr>
        <w:t xml:space="preserve">Unternehmensstrategien- </w:t>
      </w:r>
      <w:r w:rsidRPr="00AC0A09">
        <w:rPr>
          <w:rFonts w:ascii="Verdana" w:hAnsi="Verdana"/>
          <w:sz w:val="21"/>
          <w:szCs w:val="21"/>
          <w:lang w:val="de-DE"/>
        </w:rPr>
        <w:t xml:space="preserve">und </w:t>
      </w:r>
      <w:r w:rsidR="00C43DA2" w:rsidRPr="00AC0A09">
        <w:rPr>
          <w:rFonts w:ascii="Verdana" w:hAnsi="Verdana"/>
          <w:sz w:val="21"/>
          <w:szCs w:val="21"/>
          <w:lang w:val="de-DE"/>
        </w:rPr>
        <w:t>p</w:t>
      </w:r>
      <w:r w:rsidRPr="00AC0A09">
        <w:rPr>
          <w:rFonts w:ascii="Verdana" w:hAnsi="Verdana"/>
          <w:sz w:val="21"/>
          <w:szCs w:val="21"/>
          <w:lang w:val="de-DE"/>
        </w:rPr>
        <w:t>raktiken, steigert das Bewusstsein für den Mehrwert von Unternehmertum und fördert und inspiriert potenzielle Unternehmer.</w:t>
      </w:r>
    </w:p>
    <w:p w:rsidR="0046378C" w:rsidRPr="00AC0A09" w:rsidRDefault="0046378C" w:rsidP="0046378C">
      <w:pPr>
        <w:rPr>
          <w:rFonts w:ascii="Verdana" w:hAnsi="Verdana"/>
          <w:sz w:val="21"/>
          <w:szCs w:val="21"/>
          <w:lang w:val="de-DE"/>
        </w:rPr>
      </w:pPr>
    </w:p>
    <w:p w:rsidR="0046378C" w:rsidRPr="00AC0A09" w:rsidRDefault="002144C8" w:rsidP="0046378C">
      <w:pPr>
        <w:rPr>
          <w:rFonts w:ascii="Verdana" w:hAnsi="Verdana"/>
          <w:sz w:val="21"/>
          <w:szCs w:val="21"/>
          <w:lang w:val="de-DE"/>
        </w:rPr>
      </w:pPr>
      <w:r>
        <w:rPr>
          <w:rFonts w:ascii="Verdana" w:hAnsi="Verdana"/>
          <w:sz w:val="21"/>
          <w:szCs w:val="21"/>
          <w:lang w:val="de-DE"/>
        </w:rPr>
        <w:t>Es</w:t>
      </w:r>
      <w:r w:rsidR="008F3B55" w:rsidRPr="00AC0A09">
        <w:rPr>
          <w:rFonts w:ascii="Verdana" w:hAnsi="Verdana"/>
          <w:sz w:val="21"/>
          <w:szCs w:val="21"/>
          <w:lang w:val="de-DE"/>
        </w:rPr>
        <w:t xml:space="preserve"> </w:t>
      </w:r>
      <w:r w:rsidR="0046378C" w:rsidRPr="00AC0A09">
        <w:rPr>
          <w:rFonts w:ascii="Verdana" w:hAnsi="Verdana"/>
          <w:sz w:val="21"/>
          <w:szCs w:val="21"/>
          <w:lang w:val="de-DE"/>
        </w:rPr>
        <w:t xml:space="preserve">gibt </w:t>
      </w:r>
      <w:r w:rsidR="0034524D" w:rsidRPr="00AC0A09">
        <w:rPr>
          <w:rFonts w:ascii="Verdana" w:hAnsi="Verdana"/>
          <w:sz w:val="21"/>
          <w:szCs w:val="21"/>
          <w:lang w:val="de-DE"/>
        </w:rPr>
        <w:t xml:space="preserve">sechs </w:t>
      </w:r>
      <w:r w:rsidR="0046378C" w:rsidRPr="00AC0A09">
        <w:rPr>
          <w:rFonts w:ascii="Verdana" w:hAnsi="Verdana"/>
          <w:sz w:val="21"/>
          <w:szCs w:val="21"/>
          <w:lang w:val="de-DE"/>
        </w:rPr>
        <w:t>Kategorien:</w:t>
      </w:r>
    </w:p>
    <w:p w:rsidR="0046378C" w:rsidRPr="00AC0A09" w:rsidRDefault="0046378C" w:rsidP="0046378C">
      <w:pPr>
        <w:rPr>
          <w:rFonts w:ascii="Verdana" w:hAnsi="Verdana"/>
          <w:sz w:val="21"/>
          <w:szCs w:val="21"/>
          <w:lang w:val="de-DE"/>
        </w:rPr>
      </w:pPr>
    </w:p>
    <w:p w:rsidR="00AC0A09" w:rsidRPr="00AC0A09" w:rsidRDefault="0046378C" w:rsidP="00AC0A09">
      <w:pPr>
        <w:pStyle w:val="Lijstalinea"/>
        <w:numPr>
          <w:ilvl w:val="0"/>
          <w:numId w:val="2"/>
        </w:numPr>
        <w:jc w:val="both"/>
        <w:rPr>
          <w:rFonts w:ascii="Verdana" w:hAnsi="Verdana"/>
          <w:sz w:val="21"/>
          <w:szCs w:val="21"/>
          <w:lang w:val="de-DE"/>
        </w:rPr>
      </w:pPr>
      <w:r w:rsidRPr="00AC0A09">
        <w:rPr>
          <w:rFonts w:ascii="Verdana" w:hAnsi="Verdana"/>
          <w:b/>
          <w:sz w:val="21"/>
          <w:szCs w:val="21"/>
          <w:lang w:val="de-DE"/>
        </w:rPr>
        <w:t>Förderung des Unternehmergeist</w:t>
      </w:r>
      <w:r w:rsidR="001D2E16" w:rsidRPr="00AC0A09">
        <w:rPr>
          <w:rFonts w:ascii="Verdana" w:hAnsi="Verdana"/>
          <w:b/>
          <w:sz w:val="21"/>
          <w:szCs w:val="21"/>
          <w:lang w:val="de-DE"/>
        </w:rPr>
        <w:t>e</w:t>
      </w:r>
      <w:r w:rsidRPr="00AC0A09">
        <w:rPr>
          <w:rFonts w:ascii="Verdana" w:hAnsi="Verdana"/>
          <w:b/>
          <w:sz w:val="21"/>
          <w:szCs w:val="21"/>
          <w:lang w:val="de-DE"/>
        </w:rPr>
        <w:t>s:</w:t>
      </w:r>
    </w:p>
    <w:p w:rsidR="00267449" w:rsidRPr="00AC0A09" w:rsidRDefault="00CD483C" w:rsidP="00AC0A09">
      <w:pPr>
        <w:pStyle w:val="Lijstalinea"/>
        <w:jc w:val="both"/>
        <w:rPr>
          <w:rFonts w:ascii="Verdana" w:hAnsi="Verdana"/>
          <w:sz w:val="21"/>
          <w:szCs w:val="21"/>
          <w:lang w:val="de-DE"/>
        </w:rPr>
      </w:pPr>
      <w:r w:rsidRPr="00AC0A09">
        <w:rPr>
          <w:rStyle w:val="hps"/>
          <w:rFonts w:ascii="Verdana" w:hAnsi="Verdana"/>
          <w:sz w:val="21"/>
          <w:szCs w:val="21"/>
          <w:lang w:val="de-DE"/>
        </w:rPr>
        <w:t xml:space="preserve">Würdigt </w:t>
      </w:r>
      <w:r w:rsidR="00267449" w:rsidRPr="00AC0A09">
        <w:rPr>
          <w:rStyle w:val="hps"/>
          <w:rFonts w:ascii="Verdana" w:hAnsi="Verdana"/>
          <w:sz w:val="21"/>
          <w:szCs w:val="21"/>
          <w:lang w:val="de-DE"/>
        </w:rPr>
        <w:t>Initiativen</w:t>
      </w:r>
      <w:r w:rsidR="00267449" w:rsidRPr="00AC0A09">
        <w:rPr>
          <w:rFonts w:ascii="Verdana" w:hAnsi="Verdana"/>
          <w:sz w:val="21"/>
          <w:szCs w:val="21"/>
          <w:lang w:val="de-DE"/>
        </w:rPr>
        <w:t xml:space="preserve"> </w:t>
      </w:r>
      <w:r w:rsidR="00267449" w:rsidRPr="00AC0A09">
        <w:rPr>
          <w:rStyle w:val="hps"/>
          <w:rFonts w:ascii="Verdana" w:hAnsi="Verdana"/>
          <w:sz w:val="21"/>
          <w:szCs w:val="21"/>
          <w:lang w:val="de-DE"/>
        </w:rPr>
        <w:t>auf nationaler, regionaler</w:t>
      </w:r>
      <w:r w:rsidR="00267449" w:rsidRPr="00AC0A09">
        <w:rPr>
          <w:rFonts w:ascii="Verdana" w:hAnsi="Verdana"/>
          <w:sz w:val="21"/>
          <w:szCs w:val="21"/>
          <w:lang w:val="de-DE"/>
        </w:rPr>
        <w:t xml:space="preserve"> </w:t>
      </w:r>
      <w:r w:rsidR="00267449" w:rsidRPr="00AC0A09">
        <w:rPr>
          <w:rStyle w:val="hps"/>
          <w:rFonts w:ascii="Verdana" w:hAnsi="Verdana"/>
          <w:sz w:val="21"/>
          <w:szCs w:val="21"/>
          <w:lang w:val="de-DE"/>
        </w:rPr>
        <w:t>oder lokaler Ebene</w:t>
      </w:r>
      <w:r w:rsidR="00267449" w:rsidRPr="00AC0A09">
        <w:rPr>
          <w:rFonts w:ascii="Verdana" w:hAnsi="Verdana"/>
          <w:sz w:val="21"/>
          <w:szCs w:val="21"/>
          <w:lang w:val="de-DE"/>
        </w:rPr>
        <w:t xml:space="preserve">, die </w:t>
      </w:r>
      <w:r w:rsidR="00267449" w:rsidRPr="00AC0A09">
        <w:rPr>
          <w:rStyle w:val="hps"/>
          <w:rFonts w:ascii="Verdana" w:hAnsi="Verdana"/>
          <w:sz w:val="21"/>
          <w:szCs w:val="21"/>
          <w:lang w:val="de-DE"/>
        </w:rPr>
        <w:t>eine unternehmerische Denkweise</w:t>
      </w:r>
      <w:r w:rsidR="00C43DA2" w:rsidRPr="00AC0A09">
        <w:rPr>
          <w:rStyle w:val="hps"/>
          <w:rFonts w:ascii="Verdana" w:hAnsi="Verdana"/>
          <w:sz w:val="21"/>
          <w:szCs w:val="21"/>
          <w:lang w:val="de-DE"/>
        </w:rPr>
        <w:t>,</w:t>
      </w:r>
      <w:r w:rsidR="00267449" w:rsidRPr="00AC0A09">
        <w:rPr>
          <w:rFonts w:ascii="Verdana" w:hAnsi="Verdana"/>
          <w:sz w:val="21"/>
          <w:szCs w:val="21"/>
          <w:lang w:val="de-DE"/>
        </w:rPr>
        <w:t xml:space="preserve"> </w:t>
      </w:r>
      <w:r w:rsidR="00267449" w:rsidRPr="00AC0A09">
        <w:rPr>
          <w:rStyle w:val="hps"/>
          <w:rFonts w:ascii="Verdana" w:hAnsi="Verdana"/>
          <w:sz w:val="21"/>
          <w:szCs w:val="21"/>
          <w:lang w:val="de-DE"/>
        </w:rPr>
        <w:t>insbesondere unter jungen Menschen</w:t>
      </w:r>
      <w:r w:rsidR="00267449" w:rsidRPr="00AC0A09">
        <w:rPr>
          <w:rFonts w:ascii="Verdana" w:hAnsi="Verdana"/>
          <w:sz w:val="21"/>
          <w:szCs w:val="21"/>
          <w:lang w:val="de-DE"/>
        </w:rPr>
        <w:t xml:space="preserve"> </w:t>
      </w:r>
      <w:r w:rsidR="00267449" w:rsidRPr="00AC0A09">
        <w:rPr>
          <w:rStyle w:val="hps"/>
          <w:rFonts w:ascii="Verdana" w:hAnsi="Verdana"/>
          <w:sz w:val="21"/>
          <w:szCs w:val="21"/>
          <w:lang w:val="de-DE"/>
        </w:rPr>
        <w:t>und Frauen</w:t>
      </w:r>
      <w:r w:rsidR="00C43DA2" w:rsidRPr="00AC0A09">
        <w:rPr>
          <w:rStyle w:val="hps"/>
          <w:rFonts w:ascii="Verdana" w:hAnsi="Verdana"/>
          <w:sz w:val="21"/>
          <w:szCs w:val="21"/>
          <w:lang w:val="de-DE"/>
        </w:rPr>
        <w:t>,</w:t>
      </w:r>
      <w:r w:rsidR="00267449" w:rsidRPr="00AC0A09">
        <w:rPr>
          <w:rStyle w:val="hps"/>
          <w:rFonts w:ascii="Verdana" w:hAnsi="Verdana"/>
          <w:sz w:val="21"/>
          <w:szCs w:val="21"/>
          <w:lang w:val="de-DE"/>
        </w:rPr>
        <w:t xml:space="preserve"> fördern</w:t>
      </w:r>
      <w:r w:rsidR="00267449" w:rsidRPr="00AC0A09">
        <w:rPr>
          <w:rFonts w:ascii="Verdana" w:hAnsi="Verdana"/>
          <w:sz w:val="21"/>
          <w:szCs w:val="21"/>
          <w:lang w:val="de-DE"/>
        </w:rPr>
        <w:t>:</w:t>
      </w:r>
    </w:p>
    <w:p w:rsidR="0046378C" w:rsidRPr="00AC0A09" w:rsidRDefault="0046378C" w:rsidP="00267449">
      <w:pPr>
        <w:pStyle w:val="Lijstalinea"/>
        <w:rPr>
          <w:rFonts w:ascii="Verdana" w:hAnsi="Verdana"/>
          <w:sz w:val="21"/>
          <w:szCs w:val="21"/>
          <w:lang w:val="de-DE"/>
        </w:rPr>
      </w:pPr>
    </w:p>
    <w:p w:rsidR="00AC0A09" w:rsidRPr="00AC0A09" w:rsidRDefault="0046378C" w:rsidP="00AC0A09">
      <w:pPr>
        <w:pStyle w:val="Lijstalinea"/>
        <w:numPr>
          <w:ilvl w:val="0"/>
          <w:numId w:val="2"/>
        </w:numPr>
        <w:jc w:val="both"/>
        <w:rPr>
          <w:rFonts w:ascii="Verdana" w:hAnsi="Verdana"/>
          <w:sz w:val="21"/>
          <w:szCs w:val="21"/>
          <w:lang w:val="de-DE"/>
        </w:rPr>
      </w:pPr>
      <w:r w:rsidRPr="00AC0A09">
        <w:rPr>
          <w:rFonts w:ascii="Verdana" w:hAnsi="Verdana"/>
          <w:b/>
          <w:sz w:val="21"/>
          <w:szCs w:val="21"/>
          <w:lang w:val="de-DE"/>
        </w:rPr>
        <w:t xml:space="preserve">Investition in </w:t>
      </w:r>
      <w:r w:rsidR="00CD483C" w:rsidRPr="00AC0A09">
        <w:rPr>
          <w:rFonts w:ascii="Verdana" w:hAnsi="Verdana"/>
          <w:b/>
          <w:sz w:val="21"/>
          <w:szCs w:val="21"/>
          <w:lang w:val="de-DE"/>
        </w:rPr>
        <w:t>Unternehmenskompetenzen</w:t>
      </w:r>
      <w:r w:rsidRPr="00AC0A09">
        <w:rPr>
          <w:rFonts w:ascii="Verdana" w:hAnsi="Verdana"/>
          <w:b/>
          <w:sz w:val="21"/>
          <w:szCs w:val="21"/>
          <w:lang w:val="de-DE"/>
        </w:rPr>
        <w:t>:</w:t>
      </w:r>
    </w:p>
    <w:p w:rsidR="0046378C" w:rsidRPr="00AC0A09" w:rsidRDefault="0046378C" w:rsidP="00AC0A09">
      <w:pPr>
        <w:pStyle w:val="Lijstalinea"/>
        <w:jc w:val="both"/>
        <w:rPr>
          <w:rFonts w:ascii="Verdana" w:hAnsi="Verdana"/>
          <w:sz w:val="21"/>
          <w:szCs w:val="21"/>
          <w:lang w:val="de-DE"/>
        </w:rPr>
      </w:pPr>
      <w:r w:rsidRPr="00AC0A09">
        <w:rPr>
          <w:rFonts w:ascii="Verdana" w:hAnsi="Verdana"/>
          <w:sz w:val="21"/>
          <w:szCs w:val="21"/>
          <w:lang w:val="de-DE"/>
        </w:rPr>
        <w:t>Würdigt Initiativen</w:t>
      </w:r>
      <w:r w:rsidR="00CD483C" w:rsidRPr="00AC0A09">
        <w:rPr>
          <w:rFonts w:ascii="Verdana" w:hAnsi="Verdana"/>
          <w:sz w:val="21"/>
          <w:szCs w:val="21"/>
          <w:lang w:val="de-DE"/>
        </w:rPr>
        <w:t xml:space="preserve"> </w:t>
      </w:r>
      <w:r w:rsidR="00CD483C" w:rsidRPr="00AC0A09">
        <w:rPr>
          <w:rStyle w:val="hps"/>
          <w:rFonts w:ascii="Verdana" w:hAnsi="Verdana"/>
          <w:sz w:val="21"/>
          <w:szCs w:val="21"/>
          <w:lang w:val="de-DE"/>
        </w:rPr>
        <w:t>auf nationaler, regionaler</w:t>
      </w:r>
      <w:r w:rsidR="00CD483C" w:rsidRPr="00AC0A09">
        <w:rPr>
          <w:rFonts w:ascii="Verdana" w:hAnsi="Verdana"/>
          <w:sz w:val="21"/>
          <w:szCs w:val="21"/>
          <w:lang w:val="de-DE"/>
        </w:rPr>
        <w:t xml:space="preserve"> </w:t>
      </w:r>
      <w:r w:rsidR="00CD483C" w:rsidRPr="00AC0A09">
        <w:rPr>
          <w:rStyle w:val="hps"/>
          <w:rFonts w:ascii="Verdana" w:hAnsi="Verdana"/>
          <w:sz w:val="21"/>
          <w:szCs w:val="21"/>
          <w:lang w:val="de-DE"/>
        </w:rPr>
        <w:t>oder lokaler Ebene</w:t>
      </w:r>
      <w:r w:rsidR="00511068" w:rsidRPr="00AC0A09">
        <w:rPr>
          <w:rFonts w:ascii="Verdana" w:hAnsi="Verdana"/>
          <w:sz w:val="21"/>
          <w:szCs w:val="21"/>
          <w:lang w:val="de-DE"/>
        </w:rPr>
        <w:t>, die unternehmerische</w:t>
      </w:r>
      <w:r w:rsidRPr="00AC0A09">
        <w:rPr>
          <w:rFonts w:ascii="Verdana" w:hAnsi="Verdana"/>
          <w:sz w:val="21"/>
          <w:szCs w:val="21"/>
          <w:lang w:val="de-DE"/>
        </w:rPr>
        <w:t xml:space="preserve"> und betriebswirtschaftliche </w:t>
      </w:r>
      <w:r w:rsidR="00CD483C" w:rsidRPr="00AC0A09">
        <w:rPr>
          <w:rFonts w:ascii="Verdana" w:hAnsi="Verdana"/>
          <w:sz w:val="21"/>
          <w:szCs w:val="21"/>
          <w:lang w:val="de-DE"/>
        </w:rPr>
        <w:t>Kompetenzen</w:t>
      </w:r>
      <w:r w:rsidRPr="00AC0A09">
        <w:rPr>
          <w:rFonts w:ascii="Verdana" w:hAnsi="Verdana"/>
          <w:sz w:val="21"/>
          <w:szCs w:val="21"/>
          <w:lang w:val="de-DE"/>
        </w:rPr>
        <w:t xml:space="preserve"> verbessern.</w:t>
      </w:r>
      <w:r w:rsidR="00CD483C" w:rsidRPr="00AC0A09">
        <w:rPr>
          <w:rFonts w:ascii="Verdana" w:hAnsi="Verdana"/>
          <w:sz w:val="21"/>
          <w:szCs w:val="21"/>
          <w:lang w:val="de-DE"/>
        </w:rPr>
        <w:t xml:space="preserve"> </w:t>
      </w:r>
    </w:p>
    <w:p w:rsidR="0046378C" w:rsidRPr="00AC0A09" w:rsidRDefault="0046378C" w:rsidP="0046378C">
      <w:pPr>
        <w:rPr>
          <w:rFonts w:ascii="Verdana" w:hAnsi="Verdana"/>
          <w:sz w:val="21"/>
          <w:szCs w:val="21"/>
          <w:lang w:val="de-DE"/>
        </w:rPr>
      </w:pPr>
    </w:p>
    <w:p w:rsidR="00AC0A09" w:rsidRPr="00AC0A09" w:rsidRDefault="0046378C" w:rsidP="00AC0A09">
      <w:pPr>
        <w:pStyle w:val="Lijstalinea"/>
        <w:numPr>
          <w:ilvl w:val="0"/>
          <w:numId w:val="2"/>
        </w:numPr>
        <w:jc w:val="both"/>
        <w:rPr>
          <w:rFonts w:ascii="Verdana" w:hAnsi="Verdana"/>
          <w:sz w:val="21"/>
          <w:szCs w:val="21"/>
          <w:lang w:val="de-DE"/>
        </w:rPr>
      </w:pPr>
      <w:r w:rsidRPr="00AC0A09">
        <w:rPr>
          <w:rFonts w:ascii="Verdana" w:hAnsi="Verdana"/>
          <w:b/>
          <w:sz w:val="21"/>
          <w:szCs w:val="21"/>
          <w:lang w:val="de-DE"/>
        </w:rPr>
        <w:t>Verbesserung der Geschäftsumgebung:</w:t>
      </w:r>
    </w:p>
    <w:p w:rsidR="0046378C" w:rsidRPr="00AC0A09" w:rsidRDefault="0046378C" w:rsidP="00AC0A09">
      <w:pPr>
        <w:pStyle w:val="Lijstalinea"/>
        <w:jc w:val="both"/>
        <w:rPr>
          <w:rFonts w:ascii="Verdana" w:hAnsi="Verdana"/>
          <w:sz w:val="21"/>
          <w:szCs w:val="21"/>
          <w:lang w:val="de-DE"/>
        </w:rPr>
      </w:pPr>
      <w:r w:rsidRPr="00AC0A09">
        <w:rPr>
          <w:rFonts w:ascii="Verdana" w:hAnsi="Verdana"/>
          <w:sz w:val="21"/>
          <w:szCs w:val="21"/>
          <w:lang w:val="de-DE"/>
        </w:rPr>
        <w:t xml:space="preserve">Würdigt innovative Strategien auf </w:t>
      </w:r>
      <w:r w:rsidR="00CD483C" w:rsidRPr="00AC0A09">
        <w:rPr>
          <w:rFonts w:ascii="Verdana" w:hAnsi="Verdana"/>
          <w:sz w:val="21"/>
          <w:szCs w:val="21"/>
          <w:lang w:val="de-DE"/>
        </w:rPr>
        <w:t xml:space="preserve">nationaler, </w:t>
      </w:r>
      <w:r w:rsidRPr="00AC0A09">
        <w:rPr>
          <w:rFonts w:ascii="Verdana" w:hAnsi="Verdana"/>
          <w:sz w:val="21"/>
          <w:szCs w:val="21"/>
          <w:lang w:val="de-DE"/>
        </w:rPr>
        <w:t xml:space="preserve">regionaler oder lokaler Ebene, die Unternehmensgründungen und -wachstum fördern, gesetzliche und verwaltungstechnische Verfahren für Unternehmen vereinfachen und das Prinzip „Klein anfangen“ zugunsten kleiner und </w:t>
      </w:r>
      <w:r w:rsidR="00C43DA2" w:rsidRPr="00AC0A09">
        <w:rPr>
          <w:rFonts w:ascii="Verdana" w:hAnsi="Verdana"/>
          <w:sz w:val="21"/>
          <w:szCs w:val="21"/>
          <w:lang w:val="de-DE"/>
        </w:rPr>
        <w:t xml:space="preserve">mittlerer </w:t>
      </w:r>
      <w:r w:rsidRPr="00AC0A09">
        <w:rPr>
          <w:rFonts w:ascii="Verdana" w:hAnsi="Verdana"/>
          <w:sz w:val="21"/>
          <w:szCs w:val="21"/>
          <w:lang w:val="de-DE"/>
        </w:rPr>
        <w:t xml:space="preserve">Unternehmen </w:t>
      </w:r>
      <w:r w:rsidR="001D2E16" w:rsidRPr="00AC0A09">
        <w:rPr>
          <w:rFonts w:ascii="Verdana" w:hAnsi="Verdana"/>
          <w:sz w:val="21"/>
          <w:szCs w:val="21"/>
          <w:lang w:val="de-DE"/>
        </w:rPr>
        <w:t>umsetzen</w:t>
      </w:r>
      <w:r w:rsidRPr="00AC0A09">
        <w:rPr>
          <w:rFonts w:ascii="Verdana" w:hAnsi="Verdana"/>
          <w:sz w:val="21"/>
          <w:szCs w:val="21"/>
          <w:lang w:val="de-DE"/>
        </w:rPr>
        <w:t>.</w:t>
      </w:r>
    </w:p>
    <w:p w:rsidR="0046378C" w:rsidRPr="00AC0A09" w:rsidRDefault="0046378C" w:rsidP="0046378C">
      <w:pPr>
        <w:rPr>
          <w:rFonts w:ascii="Verdana" w:hAnsi="Verdana"/>
          <w:sz w:val="21"/>
          <w:szCs w:val="21"/>
          <w:lang w:val="de-DE"/>
        </w:rPr>
      </w:pPr>
    </w:p>
    <w:p w:rsidR="0046378C" w:rsidRPr="00AC0A09" w:rsidRDefault="0046378C" w:rsidP="00AC0A09">
      <w:pPr>
        <w:pStyle w:val="Lijstalinea"/>
        <w:numPr>
          <w:ilvl w:val="0"/>
          <w:numId w:val="2"/>
        </w:numPr>
        <w:jc w:val="both"/>
        <w:rPr>
          <w:rFonts w:ascii="Verdana" w:hAnsi="Verdana"/>
          <w:sz w:val="21"/>
          <w:szCs w:val="21"/>
          <w:lang w:val="de-DE"/>
        </w:rPr>
      </w:pPr>
      <w:r w:rsidRPr="00AC0A09">
        <w:rPr>
          <w:rFonts w:ascii="Verdana" w:hAnsi="Verdana"/>
          <w:b/>
          <w:sz w:val="21"/>
          <w:szCs w:val="21"/>
          <w:lang w:val="de-DE"/>
        </w:rPr>
        <w:t>Förderung der Internationalisierung der Wirtschaftstätigkeit:</w:t>
      </w:r>
      <w:r w:rsidRPr="00AC0A09">
        <w:rPr>
          <w:rFonts w:ascii="Verdana" w:hAnsi="Verdana"/>
          <w:b/>
          <w:sz w:val="21"/>
          <w:szCs w:val="21"/>
          <w:lang w:val="de-DE"/>
        </w:rPr>
        <w:br/>
      </w:r>
      <w:r w:rsidRPr="00AC0A09">
        <w:rPr>
          <w:rFonts w:ascii="Verdana" w:hAnsi="Verdana"/>
          <w:sz w:val="21"/>
          <w:szCs w:val="21"/>
          <w:lang w:val="de-DE"/>
        </w:rPr>
        <w:t>Würdigt Strategien</w:t>
      </w:r>
      <w:r w:rsidR="001D2E16" w:rsidRPr="00AC0A09">
        <w:rPr>
          <w:rFonts w:ascii="Verdana" w:hAnsi="Verdana"/>
          <w:sz w:val="21"/>
          <w:szCs w:val="21"/>
          <w:lang w:val="de-DE"/>
        </w:rPr>
        <w:t xml:space="preserve"> und Initiativen</w:t>
      </w:r>
      <w:r w:rsidRPr="00AC0A09">
        <w:rPr>
          <w:rFonts w:ascii="Verdana" w:hAnsi="Verdana"/>
          <w:sz w:val="21"/>
          <w:szCs w:val="21"/>
          <w:lang w:val="de-DE"/>
        </w:rPr>
        <w:t>, die Konzerne und insbesondere kleine und mitt</w:t>
      </w:r>
      <w:r w:rsidR="00511068" w:rsidRPr="00AC0A09">
        <w:rPr>
          <w:rFonts w:ascii="Verdana" w:hAnsi="Verdana"/>
          <w:sz w:val="21"/>
          <w:szCs w:val="21"/>
          <w:lang w:val="de-DE"/>
        </w:rPr>
        <w:t>ler</w:t>
      </w:r>
      <w:r w:rsidRPr="00AC0A09">
        <w:rPr>
          <w:rFonts w:ascii="Verdana" w:hAnsi="Verdana"/>
          <w:sz w:val="21"/>
          <w:szCs w:val="21"/>
          <w:lang w:val="de-DE"/>
        </w:rPr>
        <w:t xml:space="preserve">e Unternehmen </w:t>
      </w:r>
      <w:r w:rsidR="001D2E16" w:rsidRPr="00AC0A09">
        <w:rPr>
          <w:rFonts w:ascii="Verdana" w:hAnsi="Verdana"/>
          <w:sz w:val="21"/>
          <w:szCs w:val="21"/>
          <w:lang w:val="de-DE"/>
        </w:rPr>
        <w:t xml:space="preserve">auf nationaler, regionaler oder lokaler Ebene </w:t>
      </w:r>
      <w:r w:rsidRPr="00AC0A09">
        <w:rPr>
          <w:rFonts w:ascii="Verdana" w:hAnsi="Verdana"/>
          <w:sz w:val="21"/>
          <w:szCs w:val="21"/>
          <w:lang w:val="de-DE"/>
        </w:rPr>
        <w:t>ermutigen, Chancen in Märkten innerhalb und außerhalb der Europäischen Union</w:t>
      </w:r>
      <w:r w:rsidR="00FD0682" w:rsidRPr="00AC0A09">
        <w:rPr>
          <w:rFonts w:ascii="Verdana" w:hAnsi="Verdana"/>
          <w:sz w:val="21"/>
          <w:szCs w:val="21"/>
          <w:lang w:val="de-DE"/>
        </w:rPr>
        <w:t xml:space="preserve"> </w:t>
      </w:r>
      <w:r w:rsidR="001D2E16" w:rsidRPr="00AC0A09">
        <w:rPr>
          <w:rFonts w:ascii="Verdana" w:hAnsi="Verdana"/>
          <w:sz w:val="21"/>
          <w:szCs w:val="21"/>
          <w:lang w:val="de-DE"/>
        </w:rPr>
        <w:t>besser zu nutzen</w:t>
      </w:r>
      <w:r w:rsidRPr="00AC0A09">
        <w:rPr>
          <w:rFonts w:ascii="Verdana" w:hAnsi="Verdana"/>
          <w:sz w:val="21"/>
          <w:szCs w:val="21"/>
          <w:lang w:val="de-DE"/>
        </w:rPr>
        <w:t>.</w:t>
      </w:r>
    </w:p>
    <w:p w:rsidR="001D2E16" w:rsidRPr="00AC0A09" w:rsidRDefault="001D2E16" w:rsidP="001D2E16">
      <w:pPr>
        <w:pStyle w:val="Lijstalinea"/>
        <w:rPr>
          <w:rFonts w:ascii="Verdana" w:hAnsi="Verdana"/>
          <w:sz w:val="21"/>
          <w:szCs w:val="21"/>
          <w:lang w:val="de-DE"/>
        </w:rPr>
      </w:pPr>
    </w:p>
    <w:p w:rsidR="001D2E16" w:rsidRPr="00300500" w:rsidRDefault="001D2E16" w:rsidP="00300500">
      <w:pPr>
        <w:pStyle w:val="Lijstalinea"/>
        <w:numPr>
          <w:ilvl w:val="0"/>
          <w:numId w:val="2"/>
        </w:numPr>
        <w:rPr>
          <w:rFonts w:ascii="Verdana" w:hAnsi="Verdana"/>
          <w:b/>
          <w:sz w:val="21"/>
          <w:szCs w:val="21"/>
        </w:rPr>
      </w:pPr>
      <w:r w:rsidRPr="00300500">
        <w:rPr>
          <w:rFonts w:ascii="Verdana" w:hAnsi="Verdana"/>
          <w:b/>
          <w:sz w:val="21"/>
          <w:szCs w:val="21"/>
          <w:lang w:val="de-DE"/>
        </w:rPr>
        <w:t xml:space="preserve">Förderung der Entwicklung von </w:t>
      </w:r>
      <w:r w:rsidR="00BD7E05" w:rsidRPr="00300500">
        <w:rPr>
          <w:rFonts w:ascii="Verdana" w:hAnsi="Verdana"/>
          <w:b/>
          <w:sz w:val="21"/>
          <w:szCs w:val="21"/>
          <w:lang w:val="de-DE"/>
        </w:rPr>
        <w:t>g</w:t>
      </w:r>
      <w:r w:rsidRPr="00300500">
        <w:rPr>
          <w:rFonts w:ascii="Verdana" w:hAnsi="Verdana"/>
          <w:b/>
          <w:sz w:val="21"/>
          <w:szCs w:val="21"/>
          <w:lang w:val="de-DE"/>
        </w:rPr>
        <w:t>rünen Märkte</w:t>
      </w:r>
      <w:r w:rsidR="00BD7E05" w:rsidRPr="00300500">
        <w:rPr>
          <w:rFonts w:ascii="Verdana" w:hAnsi="Verdana"/>
          <w:b/>
          <w:sz w:val="21"/>
          <w:szCs w:val="21"/>
          <w:lang w:val="de-DE"/>
        </w:rPr>
        <w:t>n</w:t>
      </w:r>
      <w:r w:rsidRPr="00300500">
        <w:rPr>
          <w:rFonts w:ascii="Verdana" w:hAnsi="Verdana"/>
          <w:b/>
          <w:sz w:val="21"/>
          <w:szCs w:val="21"/>
          <w:lang w:val="de-DE"/>
        </w:rPr>
        <w:t xml:space="preserve"> und Ressourceneffizienz</w:t>
      </w:r>
    </w:p>
    <w:p w:rsidR="00B64CF8" w:rsidRPr="00AC0A09" w:rsidRDefault="001D2E16" w:rsidP="00AC0A09">
      <w:pPr>
        <w:pStyle w:val="Lijstalinea"/>
        <w:jc w:val="both"/>
        <w:rPr>
          <w:rFonts w:ascii="Verdana" w:hAnsi="Verdana"/>
          <w:sz w:val="21"/>
          <w:szCs w:val="21"/>
          <w:lang w:val="de-DE"/>
        </w:rPr>
      </w:pPr>
      <w:r w:rsidRPr="00AC0A09">
        <w:rPr>
          <w:rFonts w:ascii="Verdana" w:hAnsi="Verdana"/>
          <w:sz w:val="21"/>
          <w:szCs w:val="21"/>
          <w:lang w:val="de-DE"/>
        </w:rPr>
        <w:t xml:space="preserve">Würdigt Strategien und Initiativen auf nationaler, regionaler oder lokaler Ebene, die den </w:t>
      </w:r>
      <w:r w:rsidR="00FD0682" w:rsidRPr="00AC0A09">
        <w:rPr>
          <w:rFonts w:ascii="Verdana" w:hAnsi="Verdana"/>
          <w:sz w:val="21"/>
          <w:szCs w:val="21"/>
          <w:lang w:val="de-DE"/>
        </w:rPr>
        <w:t>Zugang von K</w:t>
      </w:r>
      <w:r w:rsidR="00BD7E05" w:rsidRPr="00AC0A09">
        <w:rPr>
          <w:rFonts w:ascii="Verdana" w:hAnsi="Verdana"/>
          <w:sz w:val="21"/>
          <w:szCs w:val="21"/>
          <w:lang w:val="de-DE"/>
        </w:rPr>
        <w:t>M</w:t>
      </w:r>
      <w:r w:rsidR="00EC137B" w:rsidRPr="00AC0A09">
        <w:rPr>
          <w:rFonts w:ascii="Verdana" w:hAnsi="Verdana"/>
          <w:sz w:val="21"/>
          <w:szCs w:val="21"/>
          <w:lang w:val="de-DE"/>
        </w:rPr>
        <w:t>Us</w:t>
      </w:r>
      <w:r w:rsidR="00BD7E05" w:rsidRPr="00AC0A09">
        <w:rPr>
          <w:rFonts w:ascii="Verdana" w:hAnsi="Verdana"/>
          <w:sz w:val="21"/>
          <w:szCs w:val="21"/>
          <w:lang w:val="de-DE"/>
        </w:rPr>
        <w:t xml:space="preserve"> zu g</w:t>
      </w:r>
      <w:r w:rsidRPr="00AC0A09">
        <w:rPr>
          <w:rFonts w:ascii="Verdana" w:hAnsi="Verdana"/>
          <w:sz w:val="21"/>
          <w:szCs w:val="21"/>
          <w:lang w:val="de-DE"/>
        </w:rPr>
        <w:t xml:space="preserve">rünen Märkten fördern und helfen, ihre Ressourceneffizienz zu </w:t>
      </w:r>
      <w:r w:rsidR="00BD7E05" w:rsidRPr="00AC0A09">
        <w:rPr>
          <w:rFonts w:ascii="Verdana" w:hAnsi="Verdana"/>
          <w:sz w:val="21"/>
          <w:szCs w:val="21"/>
          <w:lang w:val="de-DE"/>
        </w:rPr>
        <w:t>steig</w:t>
      </w:r>
      <w:r w:rsidRPr="00AC0A09">
        <w:rPr>
          <w:rFonts w:ascii="Verdana" w:hAnsi="Verdana"/>
          <w:sz w:val="21"/>
          <w:szCs w:val="21"/>
          <w:lang w:val="de-DE"/>
        </w:rPr>
        <w:t xml:space="preserve">ern, z.B. durch die Entwicklung von </w:t>
      </w:r>
    </w:p>
    <w:p w:rsidR="00BD7E05" w:rsidRPr="00AC0A09" w:rsidRDefault="00B64CF8" w:rsidP="00B64CF8">
      <w:pPr>
        <w:pStyle w:val="Lijstalinea"/>
        <w:ind w:left="360" w:firstLine="360"/>
        <w:rPr>
          <w:rFonts w:ascii="Verdana" w:hAnsi="Verdana"/>
          <w:sz w:val="21"/>
          <w:szCs w:val="21"/>
          <w:lang w:val="de-DE"/>
        </w:rPr>
      </w:pPr>
      <w:r w:rsidRPr="00AC0A09">
        <w:rPr>
          <w:rFonts w:ascii="Verdana" w:hAnsi="Verdana"/>
          <w:sz w:val="21"/>
          <w:szCs w:val="21"/>
          <w:lang w:val="de-DE"/>
        </w:rPr>
        <w:t>Öko-</w:t>
      </w:r>
      <w:r w:rsidR="00BD7E05" w:rsidRPr="00AC0A09">
        <w:rPr>
          <w:rFonts w:ascii="Verdana" w:hAnsi="Verdana"/>
          <w:sz w:val="21"/>
          <w:szCs w:val="21"/>
          <w:lang w:val="de-DE"/>
        </w:rPr>
        <w:t>Kompetenzen, Matchmaking und Finanzierung.</w:t>
      </w:r>
    </w:p>
    <w:p w:rsidR="0046378C" w:rsidRPr="00AC0A09" w:rsidRDefault="0046378C" w:rsidP="0046378C">
      <w:pPr>
        <w:rPr>
          <w:rFonts w:ascii="Verdana" w:hAnsi="Verdana"/>
          <w:sz w:val="21"/>
          <w:szCs w:val="21"/>
        </w:rPr>
      </w:pPr>
    </w:p>
    <w:p w:rsidR="0046378C" w:rsidRPr="00AC0A09" w:rsidRDefault="0046378C" w:rsidP="00AC0A09">
      <w:pPr>
        <w:pStyle w:val="Lijstalinea"/>
        <w:numPr>
          <w:ilvl w:val="0"/>
          <w:numId w:val="2"/>
        </w:numPr>
        <w:jc w:val="both"/>
        <w:rPr>
          <w:rFonts w:ascii="Verdana" w:hAnsi="Verdana"/>
          <w:sz w:val="21"/>
          <w:szCs w:val="21"/>
          <w:lang w:val="de-DE"/>
        </w:rPr>
      </w:pPr>
      <w:r w:rsidRPr="00AC0A09">
        <w:rPr>
          <w:rFonts w:ascii="Verdana" w:hAnsi="Verdana"/>
          <w:b/>
          <w:sz w:val="21"/>
          <w:szCs w:val="21"/>
          <w:lang w:val="de-DE"/>
        </w:rPr>
        <w:t>Verantwortungsvolles und integrationsfreundliches Unternehmertum:</w:t>
      </w:r>
      <w:r w:rsidRPr="00AC0A09">
        <w:rPr>
          <w:rFonts w:ascii="Verdana" w:hAnsi="Verdana"/>
          <w:b/>
          <w:sz w:val="21"/>
          <w:szCs w:val="21"/>
          <w:lang w:val="de-DE"/>
        </w:rPr>
        <w:br/>
      </w:r>
      <w:r w:rsidRPr="00AC0A09">
        <w:rPr>
          <w:rFonts w:ascii="Verdana" w:hAnsi="Verdana"/>
          <w:sz w:val="21"/>
          <w:szCs w:val="21"/>
          <w:lang w:val="de-DE"/>
        </w:rPr>
        <w:t xml:space="preserve">Würdigt </w:t>
      </w:r>
      <w:r w:rsidR="00BD7E05" w:rsidRPr="00AC0A09">
        <w:rPr>
          <w:rFonts w:ascii="Verdana" w:hAnsi="Verdana"/>
          <w:sz w:val="21"/>
          <w:szCs w:val="21"/>
          <w:lang w:val="de-DE"/>
        </w:rPr>
        <w:t xml:space="preserve">nationale, </w:t>
      </w:r>
      <w:r w:rsidRPr="00AC0A09">
        <w:rPr>
          <w:rFonts w:ascii="Verdana" w:hAnsi="Verdana"/>
          <w:sz w:val="21"/>
          <w:szCs w:val="21"/>
          <w:lang w:val="de-DE"/>
        </w:rPr>
        <w:t xml:space="preserve">regionale und lokale </w:t>
      </w:r>
      <w:r w:rsidR="00BD7E05" w:rsidRPr="00AC0A09">
        <w:rPr>
          <w:rFonts w:ascii="Verdana" w:hAnsi="Verdana"/>
          <w:sz w:val="21"/>
          <w:szCs w:val="21"/>
          <w:lang w:val="de-DE"/>
        </w:rPr>
        <w:t>Initiativen von Körperschaften oder öffentlich-privaten Partnerschaften</w:t>
      </w:r>
      <w:r w:rsidRPr="00AC0A09">
        <w:rPr>
          <w:rFonts w:ascii="Verdana" w:hAnsi="Verdana"/>
          <w:sz w:val="21"/>
          <w:szCs w:val="21"/>
          <w:lang w:val="de-DE"/>
        </w:rPr>
        <w:t xml:space="preserve">, die soziales Verantwortungsbewusstsein von </w:t>
      </w:r>
      <w:r w:rsidR="00BD7E05" w:rsidRPr="00AC0A09">
        <w:rPr>
          <w:rFonts w:ascii="Verdana" w:hAnsi="Verdana"/>
          <w:sz w:val="21"/>
          <w:szCs w:val="21"/>
          <w:lang w:val="de-DE"/>
        </w:rPr>
        <w:t xml:space="preserve">kleinen und mittleren </w:t>
      </w:r>
      <w:r w:rsidR="00FD0682" w:rsidRPr="00AC0A09">
        <w:rPr>
          <w:rFonts w:ascii="Verdana" w:hAnsi="Verdana"/>
          <w:sz w:val="21"/>
          <w:szCs w:val="21"/>
          <w:lang w:val="de-DE"/>
        </w:rPr>
        <w:t xml:space="preserve">Unternehmen </w:t>
      </w:r>
      <w:r w:rsidRPr="00AC0A09">
        <w:rPr>
          <w:rFonts w:ascii="Verdana" w:hAnsi="Verdana"/>
          <w:sz w:val="21"/>
          <w:szCs w:val="21"/>
          <w:lang w:val="de-DE"/>
        </w:rPr>
        <w:t>fördern.</w:t>
      </w:r>
      <w:r w:rsidR="00BD7E05" w:rsidRPr="00AC0A09">
        <w:rPr>
          <w:rFonts w:ascii="Verdana" w:hAnsi="Verdana"/>
          <w:sz w:val="21"/>
          <w:szCs w:val="21"/>
          <w:lang w:val="de-DE"/>
        </w:rPr>
        <w:t xml:space="preserve"> Diese Kategorie würdigt ebenfalls Be</w:t>
      </w:r>
      <w:r w:rsidR="00511068" w:rsidRPr="00AC0A09">
        <w:rPr>
          <w:rFonts w:ascii="Verdana" w:hAnsi="Verdana"/>
          <w:sz w:val="21"/>
          <w:szCs w:val="21"/>
          <w:lang w:val="de-DE"/>
        </w:rPr>
        <w:t>streb</w:t>
      </w:r>
      <w:r w:rsidR="00BD7E05" w:rsidRPr="00AC0A09">
        <w:rPr>
          <w:rFonts w:ascii="Verdana" w:hAnsi="Verdana"/>
          <w:sz w:val="21"/>
          <w:szCs w:val="21"/>
          <w:lang w:val="de-DE"/>
        </w:rPr>
        <w:t xml:space="preserve">ungen, </w:t>
      </w:r>
      <w:r w:rsidR="00B0316B" w:rsidRPr="00AC0A09">
        <w:rPr>
          <w:rFonts w:ascii="Verdana" w:hAnsi="Verdana"/>
          <w:sz w:val="21"/>
          <w:szCs w:val="21"/>
          <w:lang w:val="de-DE"/>
        </w:rPr>
        <w:t xml:space="preserve">die </w:t>
      </w:r>
      <w:r w:rsidR="00BD7E05" w:rsidRPr="00AC0A09">
        <w:rPr>
          <w:rFonts w:ascii="Verdana" w:hAnsi="Verdana"/>
          <w:sz w:val="21"/>
          <w:szCs w:val="21"/>
          <w:lang w:val="de-DE"/>
        </w:rPr>
        <w:t xml:space="preserve">Unternehmertum bei benachteiligten Gruppen, wie Arbeitslosen, insbesondere Langzeitarbeitslosen, legalen Zuwanderern, </w:t>
      </w:r>
      <w:r w:rsidR="00FD0682" w:rsidRPr="00AC0A09">
        <w:rPr>
          <w:rFonts w:ascii="Verdana" w:hAnsi="Verdana"/>
          <w:sz w:val="21"/>
          <w:szCs w:val="21"/>
          <w:lang w:val="de-DE"/>
        </w:rPr>
        <w:t>B</w:t>
      </w:r>
      <w:r w:rsidR="00BD7E05" w:rsidRPr="00AC0A09">
        <w:rPr>
          <w:rFonts w:ascii="Verdana" w:hAnsi="Verdana"/>
          <w:sz w:val="21"/>
          <w:szCs w:val="21"/>
          <w:lang w:val="de-DE"/>
        </w:rPr>
        <w:t xml:space="preserve">ehinderten oder Menschen, die </w:t>
      </w:r>
      <w:r w:rsidR="00B0316B" w:rsidRPr="00AC0A09">
        <w:rPr>
          <w:rFonts w:ascii="Verdana" w:hAnsi="Verdana"/>
          <w:sz w:val="21"/>
          <w:szCs w:val="21"/>
          <w:lang w:val="de-DE"/>
        </w:rPr>
        <w:t xml:space="preserve">ethnischen </w:t>
      </w:r>
      <w:r w:rsidR="00BD7E05" w:rsidRPr="00AC0A09">
        <w:rPr>
          <w:rFonts w:ascii="Verdana" w:hAnsi="Verdana"/>
          <w:sz w:val="21"/>
          <w:szCs w:val="21"/>
          <w:lang w:val="de-DE"/>
        </w:rPr>
        <w:t xml:space="preserve">Minderheiten angehören, </w:t>
      </w:r>
      <w:r w:rsidR="00B0316B" w:rsidRPr="00AC0A09">
        <w:rPr>
          <w:rFonts w:ascii="Verdana" w:hAnsi="Verdana"/>
          <w:sz w:val="21"/>
          <w:szCs w:val="21"/>
          <w:lang w:val="de-DE"/>
        </w:rPr>
        <w:t>fördern.</w:t>
      </w:r>
    </w:p>
    <w:p w:rsidR="0046378C" w:rsidRPr="00AC0A09" w:rsidRDefault="0046378C" w:rsidP="0046378C">
      <w:pPr>
        <w:rPr>
          <w:rFonts w:ascii="Verdana" w:hAnsi="Verdana"/>
          <w:sz w:val="21"/>
          <w:szCs w:val="21"/>
          <w:lang w:val="de-DE"/>
        </w:rPr>
      </w:pPr>
    </w:p>
    <w:p w:rsidR="0046378C" w:rsidRPr="00AC0A09" w:rsidRDefault="0046378C" w:rsidP="00AC0A09">
      <w:pPr>
        <w:jc w:val="both"/>
        <w:rPr>
          <w:rFonts w:ascii="Verdana" w:hAnsi="Verdana"/>
          <w:sz w:val="21"/>
          <w:szCs w:val="21"/>
          <w:lang w:val="de-DE"/>
        </w:rPr>
      </w:pPr>
      <w:r w:rsidRPr="00AC0A09">
        <w:rPr>
          <w:rFonts w:ascii="Verdana" w:hAnsi="Verdana"/>
          <w:b/>
          <w:sz w:val="21"/>
          <w:szCs w:val="21"/>
          <w:lang w:val="de-DE"/>
        </w:rPr>
        <w:lastRenderedPageBreak/>
        <w:t>Der große Jury-Preis</w:t>
      </w:r>
      <w:r w:rsidRPr="00AC0A09">
        <w:rPr>
          <w:rFonts w:ascii="Verdana" w:hAnsi="Verdana"/>
          <w:sz w:val="21"/>
          <w:szCs w:val="21"/>
          <w:lang w:val="de-DE"/>
        </w:rPr>
        <w:t xml:space="preserve"> </w:t>
      </w:r>
      <w:r w:rsidR="00B0316B" w:rsidRPr="00AC0A09">
        <w:rPr>
          <w:rFonts w:ascii="Verdana" w:hAnsi="Verdana"/>
          <w:sz w:val="21"/>
          <w:szCs w:val="21"/>
          <w:lang w:val="de-DE"/>
        </w:rPr>
        <w:t xml:space="preserve">kann in jeder Kategorie vergeben werden und </w:t>
      </w:r>
      <w:r w:rsidRPr="00AC0A09">
        <w:rPr>
          <w:rFonts w:ascii="Verdana" w:hAnsi="Verdana"/>
          <w:sz w:val="21"/>
          <w:szCs w:val="21"/>
          <w:lang w:val="de-DE"/>
        </w:rPr>
        <w:t xml:space="preserve">wird an den Beitrag </w:t>
      </w:r>
      <w:r w:rsidR="00B0316B" w:rsidRPr="00AC0A09">
        <w:rPr>
          <w:rFonts w:ascii="Verdana" w:hAnsi="Verdana"/>
          <w:sz w:val="21"/>
          <w:szCs w:val="21"/>
          <w:lang w:val="de-DE"/>
        </w:rPr>
        <w:t>verliehen</w:t>
      </w:r>
      <w:r w:rsidRPr="00AC0A09">
        <w:rPr>
          <w:rFonts w:ascii="Verdana" w:hAnsi="Verdana"/>
          <w:sz w:val="21"/>
          <w:szCs w:val="21"/>
          <w:lang w:val="de-DE"/>
        </w:rPr>
        <w:t>, der als die kreativste und inspirierendste Initiative für Unternehmertum in Europa betrachtet wird.</w:t>
      </w:r>
    </w:p>
    <w:p w:rsidR="0046378C" w:rsidRPr="00AC0A09" w:rsidRDefault="0046378C" w:rsidP="0046378C">
      <w:pPr>
        <w:rPr>
          <w:rFonts w:ascii="Verdana" w:hAnsi="Verdana"/>
          <w:sz w:val="21"/>
          <w:szCs w:val="21"/>
          <w:lang w:val="de-DE"/>
        </w:rPr>
      </w:pPr>
    </w:p>
    <w:p w:rsidR="00B0316B" w:rsidRPr="00AC0A09" w:rsidRDefault="0046378C" w:rsidP="00AC0A09">
      <w:pPr>
        <w:jc w:val="both"/>
        <w:rPr>
          <w:rFonts w:ascii="Verdana" w:hAnsi="Verdana"/>
          <w:sz w:val="21"/>
          <w:szCs w:val="21"/>
          <w:lang w:val="de-DE"/>
        </w:rPr>
      </w:pPr>
      <w:r w:rsidRPr="00AC0A09">
        <w:rPr>
          <w:rFonts w:ascii="Verdana" w:hAnsi="Verdana"/>
          <w:sz w:val="21"/>
          <w:szCs w:val="21"/>
          <w:lang w:val="de-DE"/>
        </w:rPr>
        <w:t xml:space="preserve">Wenn Sie eine nationale, regionale oder lokale </w:t>
      </w:r>
      <w:r w:rsidR="00C43DA2" w:rsidRPr="00AC0A09">
        <w:rPr>
          <w:rFonts w:ascii="Verdana" w:hAnsi="Verdana"/>
          <w:sz w:val="21"/>
          <w:szCs w:val="21"/>
          <w:lang w:val="de-DE"/>
        </w:rPr>
        <w:t xml:space="preserve">Körperschaft </w:t>
      </w:r>
      <w:r w:rsidRPr="00AC0A09">
        <w:rPr>
          <w:rFonts w:ascii="Verdana" w:hAnsi="Verdana"/>
          <w:sz w:val="21"/>
          <w:szCs w:val="21"/>
          <w:lang w:val="de-DE"/>
        </w:rPr>
        <w:t xml:space="preserve">oder eine öffentlich-private Partnerschaft in der EU </w:t>
      </w:r>
      <w:r w:rsidR="00B0316B" w:rsidRPr="00AC0A09">
        <w:rPr>
          <w:rFonts w:ascii="Verdana" w:hAnsi="Verdana"/>
          <w:sz w:val="21"/>
          <w:szCs w:val="21"/>
          <w:lang w:val="de-DE"/>
        </w:rPr>
        <w:t xml:space="preserve">oder einem </w:t>
      </w:r>
      <w:r w:rsidR="00B0316B" w:rsidRPr="00AC0A09">
        <w:rPr>
          <w:rFonts w:ascii="Verdana" w:hAnsi="Verdana" w:cs="Arial"/>
          <w:sz w:val="21"/>
          <w:szCs w:val="21"/>
          <w:lang w:val="de-DE"/>
        </w:rPr>
        <w:t xml:space="preserve">Partnerland des Rahmenprogramms für Wettbewerb und Innovation (CIP) </w:t>
      </w:r>
      <w:r w:rsidRPr="00AC0A09">
        <w:rPr>
          <w:rFonts w:ascii="Verdana" w:hAnsi="Verdana"/>
          <w:sz w:val="21"/>
          <w:szCs w:val="21"/>
          <w:lang w:val="de-DE"/>
        </w:rPr>
        <w:t>Island, Norwegen, Serbien oder der Türkei sind und an eine</w:t>
      </w:r>
      <w:r w:rsidR="00B0316B" w:rsidRPr="00AC0A09">
        <w:rPr>
          <w:rFonts w:ascii="Verdana" w:hAnsi="Verdana"/>
          <w:sz w:val="21"/>
          <w:szCs w:val="21"/>
          <w:lang w:val="de-DE"/>
        </w:rPr>
        <w:t>r</w:t>
      </w:r>
      <w:r w:rsidRPr="00AC0A09">
        <w:rPr>
          <w:rFonts w:ascii="Verdana" w:hAnsi="Verdana"/>
          <w:sz w:val="21"/>
          <w:szCs w:val="21"/>
          <w:lang w:val="de-DE"/>
        </w:rPr>
        <w:t xml:space="preserve"> erfolgreichen </w:t>
      </w:r>
      <w:r w:rsidR="00B0316B" w:rsidRPr="00AC0A09">
        <w:rPr>
          <w:rFonts w:ascii="Verdana" w:hAnsi="Verdana"/>
          <w:sz w:val="21"/>
          <w:szCs w:val="21"/>
          <w:lang w:val="de-DE"/>
        </w:rPr>
        <w:t xml:space="preserve">Initiative </w:t>
      </w:r>
      <w:r w:rsidRPr="00AC0A09">
        <w:rPr>
          <w:rFonts w:ascii="Verdana" w:hAnsi="Verdana"/>
          <w:sz w:val="21"/>
          <w:szCs w:val="21"/>
          <w:lang w:val="de-DE"/>
        </w:rPr>
        <w:t>gearbeitet haben, d</w:t>
      </w:r>
      <w:r w:rsidR="00595AA2" w:rsidRPr="00AC0A09">
        <w:rPr>
          <w:rFonts w:ascii="Verdana" w:hAnsi="Verdana"/>
          <w:sz w:val="21"/>
          <w:szCs w:val="21"/>
          <w:lang w:val="de-DE"/>
        </w:rPr>
        <w:t>ie</w:t>
      </w:r>
      <w:r w:rsidRPr="00AC0A09">
        <w:rPr>
          <w:rFonts w:ascii="Verdana" w:hAnsi="Verdana"/>
          <w:sz w:val="21"/>
          <w:szCs w:val="21"/>
          <w:lang w:val="de-DE"/>
        </w:rPr>
        <w:t xml:space="preserve"> die Wirtschaft </w:t>
      </w:r>
      <w:r w:rsidR="00B0316B" w:rsidRPr="00AC0A09">
        <w:rPr>
          <w:rFonts w:ascii="Verdana" w:hAnsi="Verdana"/>
          <w:sz w:val="21"/>
          <w:szCs w:val="21"/>
          <w:lang w:val="de-DE"/>
        </w:rPr>
        <w:t>auf nationaler, regionaler oder lokaler Ebene</w:t>
      </w:r>
      <w:r w:rsidR="00B0316B" w:rsidRPr="00AC0A09" w:rsidDel="00B0316B">
        <w:rPr>
          <w:rFonts w:ascii="Verdana" w:hAnsi="Verdana"/>
          <w:sz w:val="21"/>
          <w:szCs w:val="21"/>
          <w:lang w:val="de-DE"/>
        </w:rPr>
        <w:t xml:space="preserve"> </w:t>
      </w:r>
      <w:r w:rsidRPr="00AC0A09">
        <w:rPr>
          <w:rFonts w:ascii="Verdana" w:hAnsi="Verdana"/>
          <w:sz w:val="21"/>
          <w:szCs w:val="21"/>
          <w:lang w:val="de-DE"/>
        </w:rPr>
        <w:t>gefördert hat,</w:t>
      </w:r>
      <w:r w:rsidR="002144C8">
        <w:rPr>
          <w:rFonts w:ascii="Verdana" w:hAnsi="Verdana"/>
          <w:sz w:val="21"/>
          <w:szCs w:val="21"/>
          <w:lang w:val="de-DE"/>
        </w:rPr>
        <w:t xml:space="preserve"> </w:t>
      </w:r>
      <w:r w:rsidR="00B0316B" w:rsidRPr="00AC0A09">
        <w:rPr>
          <w:rFonts w:ascii="Verdana" w:hAnsi="Verdana"/>
          <w:sz w:val="21"/>
          <w:szCs w:val="21"/>
          <w:lang w:val="de-DE"/>
        </w:rPr>
        <w:t>werden Sie dringend zur Teilnahme gebeten</w:t>
      </w:r>
      <w:r w:rsidR="00C43DA2" w:rsidRPr="00AC0A09">
        <w:rPr>
          <w:rFonts w:ascii="Verdana" w:hAnsi="Verdana"/>
          <w:sz w:val="21"/>
          <w:szCs w:val="21"/>
          <w:lang w:val="de-DE"/>
        </w:rPr>
        <w:t>!</w:t>
      </w:r>
    </w:p>
    <w:p w:rsidR="00B0316B" w:rsidRPr="00AC0A09" w:rsidRDefault="00B0316B" w:rsidP="0046378C">
      <w:pPr>
        <w:rPr>
          <w:rFonts w:ascii="Verdana" w:hAnsi="Verdana"/>
          <w:sz w:val="21"/>
          <w:szCs w:val="21"/>
          <w:lang w:val="de-DE"/>
        </w:rPr>
      </w:pPr>
    </w:p>
    <w:p w:rsidR="0046378C" w:rsidRPr="00AC0A09" w:rsidRDefault="0046378C" w:rsidP="0042049C">
      <w:pPr>
        <w:jc w:val="both"/>
        <w:rPr>
          <w:rFonts w:ascii="Verdana" w:hAnsi="Verdana"/>
          <w:sz w:val="21"/>
          <w:szCs w:val="21"/>
          <w:lang w:val="de-DE"/>
        </w:rPr>
      </w:pPr>
      <w:r w:rsidRPr="00AC0A09">
        <w:rPr>
          <w:rFonts w:ascii="Verdana" w:hAnsi="Verdana"/>
          <w:sz w:val="21"/>
          <w:szCs w:val="21"/>
          <w:lang w:val="de-DE"/>
        </w:rPr>
        <w:t>Es gibt zwei Auswahlphasen; nur durch Durchlaufen der ersten Auswahl auf nationaler Ebene können Teilnehmer für den europäischen Förderpreis berücksichtigt werden. Eine Jury aus bekannten Persönlichkeiten wählt die Sieger der Endrunde aus,</w:t>
      </w:r>
    </w:p>
    <w:p w:rsidR="0046378C" w:rsidRPr="00AC0A09" w:rsidRDefault="00E1066A" w:rsidP="0046378C">
      <w:pPr>
        <w:rPr>
          <w:rFonts w:ascii="Verdana" w:hAnsi="Verdana"/>
          <w:sz w:val="21"/>
          <w:szCs w:val="21"/>
          <w:lang w:val="de-DE"/>
        </w:rPr>
      </w:pPr>
      <w:r w:rsidRPr="00AC0A09">
        <w:rPr>
          <w:rFonts w:ascii="Verdana" w:hAnsi="Verdana"/>
          <w:sz w:val="21"/>
          <w:szCs w:val="21"/>
          <w:lang w:val="de-DE"/>
        </w:rPr>
        <w:t xml:space="preserve">die im November </w:t>
      </w:r>
      <w:r w:rsidR="002144C8" w:rsidRPr="00AC0A09">
        <w:rPr>
          <w:rFonts w:ascii="Verdana" w:hAnsi="Verdana"/>
          <w:sz w:val="21"/>
          <w:szCs w:val="21"/>
          <w:lang w:val="de-DE"/>
        </w:rPr>
        <w:t>201</w:t>
      </w:r>
      <w:r w:rsidR="00A12729">
        <w:rPr>
          <w:rFonts w:ascii="Verdana" w:hAnsi="Verdana"/>
          <w:sz w:val="21"/>
          <w:szCs w:val="21"/>
          <w:lang w:val="de-DE"/>
        </w:rPr>
        <w:t>5</w:t>
      </w:r>
      <w:r w:rsidR="002144C8" w:rsidRPr="00AC0A09">
        <w:rPr>
          <w:rFonts w:ascii="Verdana" w:hAnsi="Verdana"/>
          <w:sz w:val="21"/>
          <w:szCs w:val="21"/>
          <w:lang w:val="de-DE"/>
        </w:rPr>
        <w:t xml:space="preserve"> </w:t>
      </w:r>
      <w:r w:rsidR="0046378C" w:rsidRPr="00AC0A09">
        <w:rPr>
          <w:rFonts w:ascii="Verdana" w:hAnsi="Verdana"/>
          <w:sz w:val="21"/>
          <w:szCs w:val="21"/>
          <w:lang w:val="de-DE"/>
        </w:rPr>
        <w:t>bei der Preisverleihung bekannt gegeben werden.</w:t>
      </w:r>
    </w:p>
    <w:p w:rsidR="0046378C" w:rsidRPr="00AC0A09" w:rsidRDefault="0046378C" w:rsidP="0046378C">
      <w:pPr>
        <w:rPr>
          <w:rFonts w:ascii="Verdana" w:hAnsi="Verdana"/>
          <w:sz w:val="21"/>
          <w:szCs w:val="21"/>
          <w:lang w:val="de-DE"/>
        </w:rPr>
      </w:pPr>
    </w:p>
    <w:p w:rsidR="0046378C" w:rsidRPr="00AC0A09" w:rsidRDefault="002144C8" w:rsidP="0046378C">
      <w:pPr>
        <w:rPr>
          <w:rFonts w:ascii="Verdana" w:hAnsi="Verdana"/>
          <w:sz w:val="21"/>
          <w:szCs w:val="21"/>
          <w:lang w:val="de-DE"/>
        </w:rPr>
      </w:pPr>
      <w:r>
        <w:rPr>
          <w:rFonts w:ascii="Verdana" w:hAnsi="Verdana"/>
          <w:sz w:val="21"/>
          <w:szCs w:val="21"/>
          <w:lang w:val="de-DE"/>
        </w:rPr>
        <w:t>A</w:t>
      </w:r>
      <w:r w:rsidR="0046378C" w:rsidRPr="00AC0A09">
        <w:rPr>
          <w:rFonts w:ascii="Verdana" w:hAnsi="Verdana"/>
          <w:sz w:val="21"/>
          <w:szCs w:val="21"/>
          <w:lang w:val="de-DE"/>
        </w:rPr>
        <w:t>usführliche Informationen zum Förderpreis</w:t>
      </w:r>
      <w:r w:rsidR="00EC137B" w:rsidRPr="00AC0A09">
        <w:rPr>
          <w:rFonts w:ascii="Verdana" w:hAnsi="Verdana"/>
          <w:sz w:val="21"/>
          <w:szCs w:val="21"/>
          <w:lang w:val="de-DE"/>
        </w:rPr>
        <w:t xml:space="preserve"> </w:t>
      </w:r>
      <w:r>
        <w:rPr>
          <w:rFonts w:ascii="Verdana" w:hAnsi="Verdana"/>
          <w:sz w:val="21"/>
          <w:szCs w:val="21"/>
          <w:lang w:val="de-DE"/>
        </w:rPr>
        <w:t>finden Sie hier</w:t>
      </w:r>
      <w:r w:rsidR="0046378C" w:rsidRPr="00AC0A09">
        <w:rPr>
          <w:rFonts w:ascii="Verdana" w:hAnsi="Verdana"/>
          <w:sz w:val="21"/>
          <w:szCs w:val="21"/>
          <w:lang w:val="de-DE"/>
        </w:rPr>
        <w:t>:</w:t>
      </w:r>
    </w:p>
    <w:p w:rsidR="0046378C" w:rsidRPr="00AC0A09" w:rsidRDefault="0046378C" w:rsidP="0046378C">
      <w:pPr>
        <w:rPr>
          <w:rFonts w:ascii="Verdana" w:hAnsi="Verdana"/>
          <w:sz w:val="21"/>
          <w:szCs w:val="21"/>
          <w:lang w:val="de-DE"/>
        </w:rPr>
      </w:pPr>
    </w:p>
    <w:p w:rsidR="00807719" w:rsidRPr="00AC0A09" w:rsidRDefault="00E4183A" w:rsidP="00807719">
      <w:pPr>
        <w:rPr>
          <w:rFonts w:ascii="Verdana" w:hAnsi="Verdana"/>
          <w:sz w:val="21"/>
          <w:szCs w:val="21"/>
          <w:lang w:val="de-DE"/>
        </w:rPr>
      </w:pPr>
      <w:hyperlink r:id="rId7" w:history="1">
        <w:r w:rsidR="00807719" w:rsidRPr="00AC0A09">
          <w:rPr>
            <w:rStyle w:val="Hyperlink"/>
            <w:rFonts w:ascii="Verdana" w:hAnsi="Verdana"/>
            <w:sz w:val="21"/>
            <w:szCs w:val="21"/>
            <w:lang w:val="de-DE"/>
          </w:rPr>
          <w:t>http://ec.europa.eu/enterprise/policies/sme/best-practices/european-enterprise-awards/index_de.htm</w:t>
        </w:r>
      </w:hyperlink>
    </w:p>
    <w:p w:rsidR="00807719" w:rsidRPr="00AC0A09" w:rsidRDefault="00807719" w:rsidP="0046378C">
      <w:pPr>
        <w:rPr>
          <w:rFonts w:ascii="Verdana" w:hAnsi="Verdana"/>
          <w:sz w:val="21"/>
          <w:szCs w:val="21"/>
          <w:lang w:val="de-DE"/>
        </w:rPr>
      </w:pPr>
    </w:p>
    <w:p w:rsidR="0046378C" w:rsidRPr="00AC0A09" w:rsidRDefault="0046378C" w:rsidP="0046378C">
      <w:pPr>
        <w:rPr>
          <w:rFonts w:ascii="Verdana" w:hAnsi="Verdana"/>
          <w:sz w:val="21"/>
          <w:szCs w:val="21"/>
          <w:lang w:val="de-DE"/>
        </w:rPr>
      </w:pPr>
      <w:r w:rsidRPr="00AC0A09">
        <w:rPr>
          <w:rFonts w:ascii="Verdana" w:hAnsi="Verdana"/>
          <w:sz w:val="21"/>
          <w:szCs w:val="21"/>
          <w:lang w:val="de-DE"/>
        </w:rPr>
        <w:t>Erfahren Sie mehr über die nationalen Wettbewerbe von Ihrem nationalen Kontakt:</w:t>
      </w:r>
    </w:p>
    <w:p w:rsidR="0046378C" w:rsidRPr="00AC0A09" w:rsidRDefault="0046378C" w:rsidP="0046378C">
      <w:pPr>
        <w:rPr>
          <w:rFonts w:ascii="Verdana" w:hAnsi="Verdana"/>
          <w:sz w:val="21"/>
          <w:szCs w:val="21"/>
          <w:lang w:val="de-DE"/>
        </w:rPr>
      </w:pPr>
    </w:p>
    <w:p w:rsidR="0042049C" w:rsidRDefault="0042049C" w:rsidP="0042049C">
      <w:pPr>
        <w:rPr>
          <w:rFonts w:ascii="Verdana" w:hAnsi="Verdana"/>
          <w:lang w:val="de-DE"/>
        </w:rPr>
      </w:pPr>
    </w:p>
    <w:p w:rsidR="00374BB2" w:rsidRDefault="00374BB2" w:rsidP="00374BB2">
      <w:pPr>
        <w:pStyle w:val="NormalWeb"/>
        <w:spacing w:before="0" w:beforeAutospacing="0" w:after="0" w:afterAutospacing="0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 xml:space="preserve">Laurent Solazzi </w:t>
      </w:r>
    </w:p>
    <w:p w:rsidR="00374BB2" w:rsidRDefault="00374BB2" w:rsidP="00374BB2">
      <w:pPr>
        <w:pStyle w:val="NormalWeb"/>
        <w:spacing w:before="0" w:beforeAutospacing="0" w:after="0" w:afterAutospacing="0"/>
        <w:rPr>
          <w:rFonts w:ascii="Verdana" w:hAnsi="Verdana"/>
          <w:lang w:val="lb-LU"/>
        </w:rPr>
      </w:pPr>
      <w:r>
        <w:rPr>
          <w:rFonts w:ascii="Verdana" w:hAnsi="Verdana"/>
          <w:lang w:val="lb-LU"/>
        </w:rPr>
        <w:t>Ministère de l’Economie</w:t>
      </w:r>
    </w:p>
    <w:p w:rsidR="00374BB2" w:rsidRDefault="00374BB2" w:rsidP="00374BB2">
      <w:pPr>
        <w:pStyle w:val="NormalWeb"/>
        <w:spacing w:before="0" w:beforeAutospacing="0" w:after="0" w:afterAutospacing="0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Direction générale – PME et Entrepreneuriat</w:t>
      </w:r>
    </w:p>
    <w:p w:rsidR="00374BB2" w:rsidRDefault="00374BB2" w:rsidP="00374BB2">
      <w:pPr>
        <w:pStyle w:val="NormalWeb"/>
        <w:spacing w:before="0" w:beforeAutospacing="0" w:after="0" w:afterAutospacing="0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19 – 21, Boulevard Royal</w:t>
      </w:r>
      <w:r>
        <w:rPr>
          <w:rFonts w:ascii="Verdana" w:hAnsi="Verdana"/>
          <w:lang w:val="fr-CH"/>
        </w:rPr>
        <w:br/>
        <w:t>2914 Luxembourg</w:t>
      </w:r>
      <w:r>
        <w:rPr>
          <w:rFonts w:ascii="Verdana" w:hAnsi="Verdana"/>
          <w:lang w:val="fr-CH"/>
        </w:rPr>
        <w:br/>
        <w:t>Tel: +352 247 841 68</w:t>
      </w:r>
      <w:r>
        <w:rPr>
          <w:rFonts w:ascii="Verdana" w:hAnsi="Verdana"/>
          <w:lang w:val="fr-CH"/>
        </w:rPr>
        <w:br/>
        <w:t>Fax: +352 460 448</w:t>
      </w:r>
      <w:r>
        <w:rPr>
          <w:rFonts w:ascii="Verdana" w:hAnsi="Verdana"/>
          <w:lang w:val="fr-CH"/>
        </w:rPr>
        <w:br/>
        <w:t xml:space="preserve">E-mail: </w:t>
      </w:r>
      <w:hyperlink r:id="rId8" w:tgtFrame="_blank" w:tooltip="laurent.solazzi@eco.etat.lu" w:history="1">
        <w:r>
          <w:rPr>
            <w:rStyle w:val="Hyperlink"/>
            <w:rFonts w:ascii="Verdana" w:hAnsi="Verdana"/>
            <w:lang w:val="fr-CH"/>
          </w:rPr>
          <w:t>laurent.solazzi@eco.etat.lu</w:t>
        </w:r>
      </w:hyperlink>
      <w:r>
        <w:rPr>
          <w:rFonts w:ascii="Verdana" w:hAnsi="Verdana"/>
          <w:lang w:val="fr-CH"/>
        </w:rPr>
        <w:t xml:space="preserve"> </w:t>
      </w:r>
      <w:r>
        <w:rPr>
          <w:rFonts w:ascii="Verdana" w:hAnsi="Verdana"/>
          <w:lang w:val="fr-CH"/>
        </w:rPr>
        <w:br/>
        <w:t xml:space="preserve">Website: </w:t>
      </w:r>
      <w:hyperlink r:id="rId9" w:tgtFrame="_blank" w:tooltip="www.eco.public.lu" w:history="1">
        <w:r>
          <w:rPr>
            <w:rStyle w:val="Hyperlink"/>
            <w:rFonts w:ascii="Verdana" w:hAnsi="Verdana"/>
            <w:lang w:val="fr-CH"/>
          </w:rPr>
          <w:t>www.eco.public.lu</w:t>
        </w:r>
      </w:hyperlink>
      <w:r>
        <w:rPr>
          <w:rFonts w:ascii="Verdana" w:hAnsi="Verdana"/>
          <w:lang w:val="fr-CH"/>
        </w:rPr>
        <w:t xml:space="preserve"> </w:t>
      </w:r>
    </w:p>
    <w:p w:rsidR="003B06F4" w:rsidRDefault="003B06F4" w:rsidP="003B06F4">
      <w:pPr>
        <w:rPr>
          <w:rFonts w:ascii="Verdana" w:hAnsi="Verdana"/>
          <w:lang w:val="fr-FR"/>
        </w:rPr>
      </w:pPr>
    </w:p>
    <w:p w:rsidR="0042049C" w:rsidRDefault="0042049C" w:rsidP="0046378C">
      <w:pPr>
        <w:rPr>
          <w:rFonts w:ascii="Verdana" w:hAnsi="Verdana"/>
          <w:lang w:val="de-DE"/>
        </w:rPr>
      </w:pPr>
    </w:p>
    <w:p w:rsidR="0042049C" w:rsidRDefault="0042049C" w:rsidP="0046378C">
      <w:pPr>
        <w:rPr>
          <w:rFonts w:ascii="Verdana" w:hAnsi="Verdana"/>
          <w:lang w:val="de-DE"/>
        </w:rPr>
      </w:pPr>
    </w:p>
    <w:p w:rsidR="0042049C" w:rsidRDefault="0042049C" w:rsidP="0046378C">
      <w:pPr>
        <w:rPr>
          <w:rFonts w:ascii="Verdana" w:hAnsi="Verdana"/>
          <w:lang w:val="de-DE"/>
        </w:rPr>
      </w:pPr>
    </w:p>
    <w:p w:rsidR="0042049C" w:rsidRDefault="0042049C" w:rsidP="0046378C">
      <w:pPr>
        <w:rPr>
          <w:rFonts w:ascii="Verdana" w:hAnsi="Verdana"/>
          <w:lang w:val="de-DE"/>
        </w:rPr>
      </w:pPr>
    </w:p>
    <w:p w:rsidR="0046378C" w:rsidRDefault="0046378C" w:rsidP="0046378C">
      <w:pPr>
        <w:rPr>
          <w:rFonts w:ascii="Verdana" w:hAnsi="Verdana"/>
          <w:b/>
          <w:sz w:val="21"/>
          <w:szCs w:val="21"/>
          <w:lang w:val="de-DE"/>
        </w:rPr>
      </w:pPr>
      <w:r w:rsidRPr="00AC0A09">
        <w:rPr>
          <w:rFonts w:ascii="Verdana" w:hAnsi="Verdana"/>
          <w:b/>
          <w:sz w:val="21"/>
          <w:szCs w:val="21"/>
          <w:lang w:val="de-DE"/>
        </w:rPr>
        <w:t>Eine Initiative der Europäischen Kommission,</w:t>
      </w:r>
    </w:p>
    <w:p w:rsidR="00AC0A09" w:rsidRPr="00AC0A09" w:rsidRDefault="00AC0A09" w:rsidP="0046378C">
      <w:pPr>
        <w:rPr>
          <w:rFonts w:ascii="Verdana" w:hAnsi="Verdana"/>
          <w:b/>
          <w:sz w:val="21"/>
          <w:szCs w:val="21"/>
          <w:lang w:val="de-DE"/>
        </w:rPr>
      </w:pPr>
    </w:p>
    <w:p w:rsidR="000C6994" w:rsidRPr="00AC0A09" w:rsidRDefault="00804698" w:rsidP="008024EB">
      <w:pPr>
        <w:rPr>
          <w:sz w:val="21"/>
          <w:szCs w:val="21"/>
        </w:rPr>
      </w:pPr>
      <w:r w:rsidRPr="00804698">
        <w:rPr>
          <w:rFonts w:ascii="Verdana" w:hAnsi="Verdana"/>
          <w:b/>
          <w:sz w:val="21"/>
          <w:szCs w:val="21"/>
        </w:rPr>
        <w:t>GD Binnenmarkt, Industrie, Unterneh</w:t>
      </w:r>
      <w:bookmarkStart w:id="0" w:name="_GoBack"/>
      <w:bookmarkEnd w:id="0"/>
      <w:r w:rsidRPr="00804698">
        <w:rPr>
          <w:rFonts w:ascii="Verdana" w:hAnsi="Verdana"/>
          <w:b/>
          <w:sz w:val="21"/>
          <w:szCs w:val="21"/>
        </w:rPr>
        <w:t>mertum und KMU</w:t>
      </w:r>
    </w:p>
    <w:sectPr w:rsidR="000C6994" w:rsidRPr="00AC0A09" w:rsidSect="00AC0A09">
      <w:headerReference w:type="first" r:id="rId10"/>
      <w:pgSz w:w="11906" w:h="16838"/>
      <w:pgMar w:top="99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30D" w:rsidRDefault="0080630D" w:rsidP="000C6994">
      <w:r>
        <w:separator/>
      </w:r>
    </w:p>
  </w:endnote>
  <w:endnote w:type="continuationSeparator" w:id="0">
    <w:p w:rsidR="0080630D" w:rsidRDefault="0080630D" w:rsidP="000C6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30D" w:rsidRDefault="0080630D" w:rsidP="000C6994">
      <w:r>
        <w:separator/>
      </w:r>
    </w:p>
  </w:footnote>
  <w:footnote w:type="continuationSeparator" w:id="0">
    <w:p w:rsidR="0080630D" w:rsidRDefault="0080630D" w:rsidP="000C6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CF8" w:rsidRDefault="00B64CF8" w:rsidP="000C6994">
    <w:pPr>
      <w:pStyle w:val="Header"/>
      <w:jc w:val="center"/>
      <w:rPr>
        <w:noProof/>
        <w:lang w:val="nl-NL" w:eastAsia="nl-NL"/>
      </w:rPr>
    </w:pPr>
  </w:p>
  <w:p w:rsidR="00B64CF8" w:rsidRDefault="00B64CF8" w:rsidP="000C6994">
    <w:pPr>
      <w:pStyle w:val="Header"/>
      <w:jc w:val="center"/>
    </w:pPr>
  </w:p>
  <w:p w:rsidR="00300500" w:rsidRDefault="00300500" w:rsidP="00300500">
    <w:pPr>
      <w:pStyle w:val="Header"/>
      <w:jc w:val="center"/>
    </w:pPr>
    <w:r>
      <w:rPr>
        <w:noProof/>
        <w:lang w:val="lb-LU" w:eastAsia="lb-LU"/>
      </w:rPr>
      <w:drawing>
        <wp:inline distT="0" distB="0" distL="0" distR="0">
          <wp:extent cx="2596551" cy="1646850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495" cy="16575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00500" w:rsidRPr="00F30573" w:rsidRDefault="00A12729" w:rsidP="00300500">
    <w:pPr>
      <w:pStyle w:val="Header"/>
      <w:jc w:val="center"/>
      <w:rPr>
        <w:lang w:val="bg-BG"/>
      </w:rPr>
    </w:pPr>
    <w:r>
      <w:t>2015</w:t>
    </w:r>
    <w:r w:rsidR="00300500">
      <w:t xml:space="preserve"> </w:t>
    </w:r>
  </w:p>
  <w:p w:rsidR="00300500" w:rsidRDefault="00300500" w:rsidP="00300500"/>
  <w:p w:rsidR="00B64CF8" w:rsidRDefault="00B64CF8" w:rsidP="000C6994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B27DD"/>
    <w:multiLevelType w:val="hybridMultilevel"/>
    <w:tmpl w:val="1CA40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83116"/>
    <w:multiLevelType w:val="hybridMultilevel"/>
    <w:tmpl w:val="C394A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54175"/>
    <w:rsid w:val="0007095B"/>
    <w:rsid w:val="000A3760"/>
    <w:rsid w:val="000A3C9C"/>
    <w:rsid w:val="000C27DA"/>
    <w:rsid w:val="000C6994"/>
    <w:rsid w:val="000E62E1"/>
    <w:rsid w:val="00154CF7"/>
    <w:rsid w:val="00186406"/>
    <w:rsid w:val="001958DB"/>
    <w:rsid w:val="001C4B66"/>
    <w:rsid w:val="001C643E"/>
    <w:rsid w:val="001D2E16"/>
    <w:rsid w:val="002144C8"/>
    <w:rsid w:val="00224DF8"/>
    <w:rsid w:val="00267449"/>
    <w:rsid w:val="00300500"/>
    <w:rsid w:val="00306D45"/>
    <w:rsid w:val="0034524D"/>
    <w:rsid w:val="00374BB2"/>
    <w:rsid w:val="003A1C5E"/>
    <w:rsid w:val="003B06F4"/>
    <w:rsid w:val="003D10A3"/>
    <w:rsid w:val="0042049C"/>
    <w:rsid w:val="00420A9C"/>
    <w:rsid w:val="00462A36"/>
    <w:rsid w:val="0046378C"/>
    <w:rsid w:val="004A46F0"/>
    <w:rsid w:val="004B69B6"/>
    <w:rsid w:val="004D32BC"/>
    <w:rsid w:val="004E234F"/>
    <w:rsid w:val="004E4A5A"/>
    <w:rsid w:val="00511068"/>
    <w:rsid w:val="00543509"/>
    <w:rsid w:val="0056363F"/>
    <w:rsid w:val="00595754"/>
    <w:rsid w:val="00595AA2"/>
    <w:rsid w:val="00614D06"/>
    <w:rsid w:val="00664886"/>
    <w:rsid w:val="0068479F"/>
    <w:rsid w:val="006B5D21"/>
    <w:rsid w:val="006C36D6"/>
    <w:rsid w:val="007272C1"/>
    <w:rsid w:val="00747939"/>
    <w:rsid w:val="007501C6"/>
    <w:rsid w:val="007612B1"/>
    <w:rsid w:val="00796EBB"/>
    <w:rsid w:val="008024EB"/>
    <w:rsid w:val="00804698"/>
    <w:rsid w:val="0080630D"/>
    <w:rsid w:val="00807719"/>
    <w:rsid w:val="00840B41"/>
    <w:rsid w:val="00854175"/>
    <w:rsid w:val="008765AC"/>
    <w:rsid w:val="008961EA"/>
    <w:rsid w:val="008B3720"/>
    <w:rsid w:val="008F3B55"/>
    <w:rsid w:val="00931F81"/>
    <w:rsid w:val="009730A4"/>
    <w:rsid w:val="009A5822"/>
    <w:rsid w:val="00A12729"/>
    <w:rsid w:val="00A33F79"/>
    <w:rsid w:val="00A372B3"/>
    <w:rsid w:val="00A6422A"/>
    <w:rsid w:val="00A8188F"/>
    <w:rsid w:val="00AA4306"/>
    <w:rsid w:val="00AC0A09"/>
    <w:rsid w:val="00AC5CED"/>
    <w:rsid w:val="00AE1952"/>
    <w:rsid w:val="00B0316B"/>
    <w:rsid w:val="00B64CF8"/>
    <w:rsid w:val="00B940D5"/>
    <w:rsid w:val="00BC1D21"/>
    <w:rsid w:val="00BD7E05"/>
    <w:rsid w:val="00C036B8"/>
    <w:rsid w:val="00C3335A"/>
    <w:rsid w:val="00C371E6"/>
    <w:rsid w:val="00C43DA2"/>
    <w:rsid w:val="00CD483C"/>
    <w:rsid w:val="00CE4DA5"/>
    <w:rsid w:val="00D76B6F"/>
    <w:rsid w:val="00D7710A"/>
    <w:rsid w:val="00D84695"/>
    <w:rsid w:val="00D8508D"/>
    <w:rsid w:val="00DE0C13"/>
    <w:rsid w:val="00DE567D"/>
    <w:rsid w:val="00DF7715"/>
    <w:rsid w:val="00E1066A"/>
    <w:rsid w:val="00E34FF2"/>
    <w:rsid w:val="00E4183A"/>
    <w:rsid w:val="00E42E43"/>
    <w:rsid w:val="00E712DE"/>
    <w:rsid w:val="00E768ED"/>
    <w:rsid w:val="00EC137B"/>
    <w:rsid w:val="00EF29A5"/>
    <w:rsid w:val="00F20A17"/>
    <w:rsid w:val="00F27827"/>
    <w:rsid w:val="00F34119"/>
    <w:rsid w:val="00F63EB2"/>
    <w:rsid w:val="00FD0682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78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9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994"/>
  </w:style>
  <w:style w:type="paragraph" w:styleId="Footer">
    <w:name w:val="footer"/>
    <w:basedOn w:val="Normal"/>
    <w:link w:val="FooterChar"/>
    <w:uiPriority w:val="99"/>
    <w:unhideWhenUsed/>
    <w:rsid w:val="000C69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994"/>
  </w:style>
  <w:style w:type="paragraph" w:styleId="BalloonText">
    <w:name w:val="Balloon Text"/>
    <w:basedOn w:val="Normal"/>
    <w:link w:val="BalloonTextChar"/>
    <w:uiPriority w:val="99"/>
    <w:semiHidden/>
    <w:unhideWhenUsed/>
    <w:rsid w:val="000C6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6994"/>
    <w:rPr>
      <w:rFonts w:ascii="Tahoma" w:hAnsi="Tahoma" w:cs="Tahoma"/>
      <w:sz w:val="16"/>
      <w:szCs w:val="16"/>
    </w:rPr>
  </w:style>
  <w:style w:type="paragraph" w:customStyle="1" w:styleId="Lijstalinea">
    <w:name w:val="Lijstalinea"/>
    <w:basedOn w:val="Normal"/>
    <w:uiPriority w:val="34"/>
    <w:qFormat/>
    <w:rsid w:val="000C69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69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0C6994"/>
    <w:rPr>
      <w:color w:val="0000FF"/>
      <w:u w:val="single"/>
    </w:rPr>
  </w:style>
  <w:style w:type="character" w:customStyle="1" w:styleId="hps">
    <w:name w:val="hps"/>
    <w:basedOn w:val="DefaultParagraphFont"/>
    <w:rsid w:val="00267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t.solazzi@eco.etat.l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ec.europa.eu/enterprise/policies/sme/best-practices/european-enterprise-awards/index_de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co.public.l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3983</CharactersWithSpaces>
  <SharedDoc>false</SharedDoc>
  <HLinks>
    <vt:vector size="18" baseType="variant">
      <vt:variant>
        <vt:i4>983147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Settings/Temp/Tijdelijke map 1 voor EEPA 2013.zip/wolffvondersahl@rkw.de</vt:lpwstr>
      </vt:variant>
      <vt:variant>
        <vt:lpwstr/>
      </vt:variant>
      <vt:variant>
        <vt:i4>6488070</vt:i4>
      </vt:variant>
      <vt:variant>
        <vt:i4>3</vt:i4>
      </vt:variant>
      <vt:variant>
        <vt:i4>0</vt:i4>
      </vt:variant>
      <vt:variant>
        <vt:i4>5</vt:i4>
      </vt:variant>
      <vt:variant>
        <vt:lpwstr>../Local Settings/Temp/Tijdelijke map 1 voor EEPA 2013.zip/EuropeanEnterprise@rkw.de</vt:lpwstr>
      </vt:variant>
      <vt:variant>
        <vt:lpwstr/>
      </vt:variant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http://ec.europa.eu/enterprise/policies/sme/best-practices/european-enterprise-awards/index_de.htm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lsolazzi</cp:lastModifiedBy>
  <cp:revision>7</cp:revision>
  <dcterms:created xsi:type="dcterms:W3CDTF">2014-01-21T11:00:00Z</dcterms:created>
  <dcterms:modified xsi:type="dcterms:W3CDTF">2015-02-25T14:51:00Z</dcterms:modified>
</cp:coreProperties>
</file>