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658" w:rsidRPr="004545E5" w:rsidRDefault="00375658" w:rsidP="00634ABE">
      <w:pPr>
        <w:jc w:val="both"/>
        <w:rPr>
          <w:rFonts w:ascii="Arial" w:hAnsi="Arial" w:cs="Arial"/>
          <w:bCs/>
          <w:sz w:val="22"/>
          <w:szCs w:val="22"/>
          <w:lang w:val="fr-FR"/>
        </w:rPr>
      </w:pPr>
      <w:r w:rsidRPr="004545E5">
        <w:rPr>
          <w:rFonts w:ascii="Arial" w:hAnsi="Arial" w:cs="Arial"/>
          <w:sz w:val="22"/>
          <w:szCs w:val="22"/>
        </w:rPr>
        <w:object w:dxaOrig="14173" w:dyaOrig="7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54pt" o:ole="">
            <v:imagedata r:id="rId8" o:title=""/>
          </v:shape>
          <o:OLEObject Type="Embed" ProgID="MSPhotoEd.3" ShapeID="_x0000_i1025" DrawAspect="Content" ObjectID="_1384240325" r:id="rId9"/>
        </w:object>
      </w:r>
      <w:r w:rsidRPr="004545E5">
        <w:rPr>
          <w:rFonts w:ascii="Arial" w:hAnsi="Arial" w:cs="Arial"/>
          <w:bCs/>
          <w:sz w:val="22"/>
          <w:szCs w:val="22"/>
          <w:lang w:val="fr-FR"/>
        </w:rPr>
        <w:t xml:space="preserve"> </w:t>
      </w:r>
    </w:p>
    <w:p w:rsidR="00F16034" w:rsidRDefault="00F16034" w:rsidP="00634ABE">
      <w:pPr>
        <w:jc w:val="both"/>
        <w:rPr>
          <w:rFonts w:ascii="Arial" w:hAnsi="Arial" w:cs="Arial"/>
          <w:b/>
          <w:bCs/>
          <w:sz w:val="22"/>
          <w:szCs w:val="22"/>
          <w:lang w:val="fr-FR"/>
        </w:rPr>
      </w:pPr>
    </w:p>
    <w:p w:rsidR="00A30C1C" w:rsidRDefault="00A30C1C" w:rsidP="00634ABE">
      <w:pPr>
        <w:jc w:val="both"/>
        <w:rPr>
          <w:rFonts w:ascii="Arial" w:hAnsi="Arial" w:cs="Arial"/>
          <w:b/>
          <w:bCs/>
          <w:sz w:val="22"/>
          <w:szCs w:val="22"/>
          <w:lang w:val="fr-FR"/>
        </w:rPr>
      </w:pPr>
    </w:p>
    <w:p w:rsidR="00A30C1C" w:rsidRPr="004545E5" w:rsidRDefault="00A30C1C" w:rsidP="00634ABE">
      <w:pPr>
        <w:jc w:val="both"/>
        <w:rPr>
          <w:rFonts w:ascii="Arial" w:hAnsi="Arial" w:cs="Arial"/>
          <w:b/>
          <w:bCs/>
          <w:sz w:val="22"/>
          <w:szCs w:val="22"/>
          <w:lang w:val="fr-FR"/>
        </w:rPr>
      </w:pPr>
    </w:p>
    <w:p w:rsidR="00375658" w:rsidRPr="004545E5" w:rsidRDefault="003F7314" w:rsidP="00634ABE">
      <w:pPr>
        <w:jc w:val="both"/>
        <w:rPr>
          <w:rFonts w:ascii="Arial" w:hAnsi="Arial" w:cs="Arial"/>
          <w:bCs/>
          <w:sz w:val="22"/>
          <w:szCs w:val="22"/>
          <w:lang w:val="fr-FR"/>
        </w:rPr>
      </w:pPr>
      <w:r w:rsidRPr="004545E5">
        <w:rPr>
          <w:rFonts w:ascii="Arial" w:hAnsi="Arial" w:cs="Arial"/>
          <w:bCs/>
          <w:sz w:val="22"/>
          <w:szCs w:val="22"/>
          <w:lang w:val="fr-FR"/>
        </w:rPr>
        <w:t xml:space="preserve">Communiqué de presse </w:t>
      </w:r>
      <w:r w:rsidR="00567C36" w:rsidRPr="004545E5">
        <w:rPr>
          <w:rFonts w:ascii="Arial" w:hAnsi="Arial" w:cs="Arial"/>
          <w:bCs/>
          <w:sz w:val="22"/>
          <w:szCs w:val="22"/>
          <w:lang w:val="fr-FR"/>
        </w:rPr>
        <w:t>du</w:t>
      </w:r>
      <w:r w:rsidR="0070245C" w:rsidRPr="004545E5">
        <w:rPr>
          <w:rFonts w:ascii="Arial" w:hAnsi="Arial" w:cs="Arial"/>
          <w:bCs/>
          <w:sz w:val="22"/>
          <w:szCs w:val="22"/>
          <w:lang w:val="fr-FR"/>
        </w:rPr>
        <w:t xml:space="preserve"> 1</w:t>
      </w:r>
      <w:r w:rsidR="0070245C" w:rsidRPr="004545E5">
        <w:rPr>
          <w:rFonts w:ascii="Arial" w:hAnsi="Arial" w:cs="Arial"/>
          <w:bCs/>
          <w:sz w:val="22"/>
          <w:szCs w:val="22"/>
          <w:vertAlign w:val="superscript"/>
          <w:lang w:val="fr-FR"/>
        </w:rPr>
        <w:t>er</w:t>
      </w:r>
      <w:r w:rsidR="0070245C" w:rsidRPr="004545E5">
        <w:rPr>
          <w:rFonts w:ascii="Arial" w:hAnsi="Arial" w:cs="Arial"/>
          <w:bCs/>
          <w:sz w:val="22"/>
          <w:szCs w:val="22"/>
          <w:lang w:val="fr-FR"/>
        </w:rPr>
        <w:t xml:space="preserve"> </w:t>
      </w:r>
      <w:r w:rsidR="00E2522E" w:rsidRPr="004545E5">
        <w:rPr>
          <w:rFonts w:ascii="Arial" w:hAnsi="Arial" w:cs="Arial"/>
          <w:bCs/>
          <w:sz w:val="22"/>
          <w:szCs w:val="22"/>
          <w:lang w:val="fr-FR"/>
        </w:rPr>
        <w:t>décembre 201</w:t>
      </w:r>
      <w:r w:rsidR="0070245C" w:rsidRPr="004545E5">
        <w:rPr>
          <w:rFonts w:ascii="Arial" w:hAnsi="Arial" w:cs="Arial"/>
          <w:bCs/>
          <w:sz w:val="22"/>
          <w:szCs w:val="22"/>
          <w:lang w:val="fr-FR"/>
        </w:rPr>
        <w:t>1</w:t>
      </w:r>
    </w:p>
    <w:p w:rsidR="00A30C1C" w:rsidRDefault="00A30C1C" w:rsidP="00634ABE">
      <w:pPr>
        <w:jc w:val="both"/>
        <w:rPr>
          <w:rFonts w:ascii="Arial" w:hAnsi="Arial" w:cs="Arial"/>
          <w:b/>
          <w:bCs/>
          <w:sz w:val="22"/>
          <w:szCs w:val="22"/>
          <w:lang w:val="fr-FR"/>
        </w:rPr>
      </w:pPr>
    </w:p>
    <w:p w:rsidR="00A30C1C" w:rsidRDefault="00A30C1C" w:rsidP="00634ABE">
      <w:pPr>
        <w:jc w:val="both"/>
        <w:rPr>
          <w:rFonts w:ascii="Arial" w:hAnsi="Arial" w:cs="Arial"/>
          <w:b/>
          <w:bCs/>
          <w:sz w:val="22"/>
          <w:szCs w:val="22"/>
          <w:lang w:val="fr-FR"/>
        </w:rPr>
      </w:pPr>
    </w:p>
    <w:p w:rsidR="00A30C1C" w:rsidRDefault="00A30C1C" w:rsidP="00634ABE">
      <w:pPr>
        <w:jc w:val="both"/>
        <w:rPr>
          <w:rFonts w:ascii="Arial" w:hAnsi="Arial" w:cs="Arial"/>
          <w:b/>
          <w:bCs/>
          <w:sz w:val="22"/>
          <w:szCs w:val="22"/>
          <w:lang w:val="fr-FR"/>
        </w:rPr>
      </w:pPr>
    </w:p>
    <w:p w:rsidR="00A30C1C" w:rsidRDefault="00A30C1C" w:rsidP="00634ABE">
      <w:pPr>
        <w:jc w:val="both"/>
        <w:rPr>
          <w:rFonts w:ascii="Arial" w:hAnsi="Arial" w:cs="Arial"/>
          <w:b/>
          <w:bCs/>
          <w:sz w:val="22"/>
          <w:szCs w:val="22"/>
          <w:lang w:val="fr-FR"/>
        </w:rPr>
      </w:pPr>
    </w:p>
    <w:p w:rsidR="0043174A" w:rsidRPr="004545E5" w:rsidRDefault="0043174A" w:rsidP="00634ABE">
      <w:pPr>
        <w:pBdr>
          <w:top w:val="single" w:sz="4" w:space="1" w:color="auto"/>
          <w:left w:val="single" w:sz="4" w:space="4" w:color="auto"/>
          <w:bottom w:val="single" w:sz="4" w:space="1" w:color="auto"/>
          <w:right w:val="single" w:sz="4" w:space="4" w:color="auto"/>
        </w:pBdr>
        <w:jc w:val="both"/>
        <w:outlineLvl w:val="0"/>
        <w:rPr>
          <w:rFonts w:ascii="Arial" w:hAnsi="Arial" w:cs="Arial"/>
          <w:b/>
          <w:bCs/>
          <w:sz w:val="28"/>
          <w:szCs w:val="28"/>
          <w:lang w:val="fr-FR"/>
        </w:rPr>
      </w:pPr>
    </w:p>
    <w:p w:rsidR="0043174A" w:rsidRPr="000B1EBD" w:rsidRDefault="003F7314" w:rsidP="00634ABE">
      <w:pPr>
        <w:pBdr>
          <w:top w:val="single" w:sz="4" w:space="1" w:color="auto"/>
          <w:left w:val="single" w:sz="4" w:space="4" w:color="auto"/>
          <w:bottom w:val="single" w:sz="4" w:space="1" w:color="auto"/>
          <w:right w:val="single" w:sz="4" w:space="4" w:color="auto"/>
        </w:pBdr>
        <w:jc w:val="center"/>
        <w:outlineLvl w:val="0"/>
        <w:rPr>
          <w:rFonts w:ascii="Arial" w:hAnsi="Arial" w:cs="Arial"/>
          <w:b/>
          <w:bCs/>
          <w:i/>
          <w:sz w:val="22"/>
          <w:szCs w:val="22"/>
          <w:lang w:val="fr-FR"/>
        </w:rPr>
      </w:pPr>
      <w:r w:rsidRPr="000B1EBD">
        <w:rPr>
          <w:rFonts w:ascii="Arial" w:hAnsi="Arial" w:cs="Arial"/>
          <w:b/>
          <w:bCs/>
          <w:i/>
          <w:sz w:val="22"/>
          <w:szCs w:val="22"/>
          <w:lang w:val="fr-FR"/>
        </w:rPr>
        <w:t>E</w:t>
      </w:r>
      <w:r w:rsidR="00375658" w:rsidRPr="000B1EBD">
        <w:rPr>
          <w:rFonts w:ascii="Arial" w:hAnsi="Arial" w:cs="Arial"/>
          <w:b/>
          <w:bCs/>
          <w:i/>
          <w:sz w:val="22"/>
          <w:szCs w:val="22"/>
          <w:lang w:val="fr-FR"/>
        </w:rPr>
        <w:t>nquête Eurochambres 20</w:t>
      </w:r>
      <w:r w:rsidR="00E2522E" w:rsidRPr="000B1EBD">
        <w:rPr>
          <w:rFonts w:ascii="Arial" w:hAnsi="Arial" w:cs="Arial"/>
          <w:b/>
          <w:bCs/>
          <w:i/>
          <w:sz w:val="22"/>
          <w:szCs w:val="22"/>
          <w:lang w:val="fr-FR"/>
        </w:rPr>
        <w:t>1</w:t>
      </w:r>
      <w:r w:rsidR="0070245C" w:rsidRPr="000B1EBD">
        <w:rPr>
          <w:rFonts w:ascii="Arial" w:hAnsi="Arial" w:cs="Arial"/>
          <w:b/>
          <w:bCs/>
          <w:i/>
          <w:sz w:val="22"/>
          <w:szCs w:val="22"/>
          <w:lang w:val="fr-FR"/>
        </w:rPr>
        <w:t>2</w:t>
      </w:r>
      <w:r w:rsidRPr="000B1EBD">
        <w:rPr>
          <w:rFonts w:ascii="Arial" w:hAnsi="Arial" w:cs="Arial"/>
          <w:b/>
          <w:bCs/>
          <w:i/>
          <w:sz w:val="22"/>
          <w:szCs w:val="22"/>
          <w:lang w:val="fr-FR"/>
        </w:rPr>
        <w:t xml:space="preserve"> auprès des entreprises luxembourgeoises</w:t>
      </w:r>
    </w:p>
    <w:p w:rsidR="007854D7" w:rsidRPr="00345FCA" w:rsidRDefault="007854D7" w:rsidP="00634ABE">
      <w:pPr>
        <w:pBdr>
          <w:top w:val="single" w:sz="4" w:space="1" w:color="auto"/>
          <w:left w:val="single" w:sz="4" w:space="4" w:color="auto"/>
          <w:bottom w:val="single" w:sz="4" w:space="1" w:color="auto"/>
          <w:right w:val="single" w:sz="4" w:space="4" w:color="auto"/>
        </w:pBdr>
        <w:jc w:val="center"/>
        <w:outlineLvl w:val="0"/>
        <w:rPr>
          <w:rFonts w:ascii="Arial" w:hAnsi="Arial" w:cs="Arial"/>
          <w:b/>
          <w:bCs/>
          <w:sz w:val="26"/>
          <w:szCs w:val="26"/>
          <w:lang w:val="fr-FR"/>
        </w:rPr>
      </w:pPr>
    </w:p>
    <w:p w:rsidR="002B3091" w:rsidRDefault="002B3091" w:rsidP="00634ABE">
      <w:pPr>
        <w:pBdr>
          <w:top w:val="single" w:sz="4" w:space="1" w:color="auto"/>
          <w:left w:val="single" w:sz="4" w:space="4" w:color="auto"/>
          <w:bottom w:val="single" w:sz="4" w:space="1" w:color="auto"/>
          <w:right w:val="single" w:sz="4" w:space="4" w:color="auto"/>
        </w:pBdr>
        <w:jc w:val="center"/>
        <w:outlineLvl w:val="0"/>
        <w:rPr>
          <w:rFonts w:ascii="Arial" w:hAnsi="Arial" w:cs="Arial"/>
          <w:b/>
          <w:bCs/>
          <w:sz w:val="26"/>
          <w:szCs w:val="26"/>
          <w:lang w:val="fr-LU"/>
        </w:rPr>
      </w:pPr>
      <w:r>
        <w:rPr>
          <w:rFonts w:ascii="Arial" w:hAnsi="Arial" w:cs="Arial"/>
          <w:b/>
          <w:bCs/>
          <w:sz w:val="26"/>
          <w:szCs w:val="26"/>
          <w:lang w:val="fr-LU"/>
        </w:rPr>
        <w:t>Les</w:t>
      </w:r>
      <w:r w:rsidR="0070245C" w:rsidRPr="00345FCA">
        <w:rPr>
          <w:rFonts w:ascii="Arial" w:hAnsi="Arial" w:cs="Arial"/>
          <w:b/>
          <w:bCs/>
          <w:sz w:val="26"/>
          <w:szCs w:val="26"/>
          <w:lang w:val="fr-LU"/>
        </w:rPr>
        <w:t xml:space="preserve"> inq</w:t>
      </w:r>
      <w:r w:rsidR="00A30C1C">
        <w:rPr>
          <w:rFonts w:ascii="Arial" w:hAnsi="Arial" w:cs="Arial"/>
          <w:b/>
          <w:bCs/>
          <w:sz w:val="26"/>
          <w:szCs w:val="26"/>
          <w:lang w:val="fr-LU"/>
        </w:rPr>
        <w:t>uiétudes des chefs d’entreprise</w:t>
      </w:r>
      <w:r w:rsidR="00DA7386">
        <w:rPr>
          <w:rFonts w:ascii="Arial" w:hAnsi="Arial" w:cs="Arial"/>
          <w:b/>
          <w:bCs/>
          <w:sz w:val="26"/>
          <w:szCs w:val="26"/>
          <w:lang w:val="fr-LU"/>
        </w:rPr>
        <w:t>s</w:t>
      </w:r>
      <w:r>
        <w:rPr>
          <w:rFonts w:ascii="Arial" w:hAnsi="Arial" w:cs="Arial"/>
          <w:b/>
          <w:bCs/>
          <w:sz w:val="26"/>
          <w:szCs w:val="26"/>
          <w:lang w:val="fr-LU"/>
        </w:rPr>
        <w:t xml:space="preserve"> dans un contexte</w:t>
      </w:r>
    </w:p>
    <w:p w:rsidR="0070245C" w:rsidRPr="00345FCA" w:rsidRDefault="002B3091" w:rsidP="00634ABE">
      <w:pPr>
        <w:pBdr>
          <w:top w:val="single" w:sz="4" w:space="1" w:color="auto"/>
          <w:left w:val="single" w:sz="4" w:space="4" w:color="auto"/>
          <w:bottom w:val="single" w:sz="4" w:space="1" w:color="auto"/>
          <w:right w:val="single" w:sz="4" w:space="4" w:color="auto"/>
        </w:pBdr>
        <w:jc w:val="center"/>
        <w:outlineLvl w:val="0"/>
        <w:rPr>
          <w:rFonts w:ascii="Arial" w:hAnsi="Arial" w:cs="Arial"/>
          <w:b/>
          <w:bCs/>
          <w:sz w:val="26"/>
          <w:szCs w:val="26"/>
          <w:lang w:val="fr-LU"/>
        </w:rPr>
      </w:pPr>
      <w:r>
        <w:rPr>
          <w:rFonts w:ascii="Arial" w:hAnsi="Arial" w:cs="Arial"/>
          <w:b/>
          <w:bCs/>
          <w:sz w:val="26"/>
          <w:szCs w:val="26"/>
          <w:lang w:val="fr-LU"/>
        </w:rPr>
        <w:t>hautement incertain</w:t>
      </w:r>
    </w:p>
    <w:p w:rsidR="0043174A" w:rsidRPr="004545E5" w:rsidRDefault="0043174A" w:rsidP="00634ABE">
      <w:pPr>
        <w:pBdr>
          <w:top w:val="single" w:sz="4" w:space="1" w:color="auto"/>
          <w:left w:val="single" w:sz="4" w:space="4" w:color="auto"/>
          <w:bottom w:val="single" w:sz="4" w:space="1" w:color="auto"/>
          <w:right w:val="single" w:sz="4" w:space="4" w:color="auto"/>
        </w:pBdr>
        <w:jc w:val="both"/>
        <w:outlineLvl w:val="0"/>
        <w:rPr>
          <w:rFonts w:ascii="Arial" w:hAnsi="Arial" w:cs="Arial"/>
          <w:b/>
          <w:bCs/>
          <w:sz w:val="22"/>
          <w:szCs w:val="22"/>
          <w:lang w:val="fr-LU"/>
        </w:rPr>
      </w:pPr>
    </w:p>
    <w:p w:rsidR="00FF5470" w:rsidRPr="004545E5" w:rsidRDefault="00FF5470" w:rsidP="00634ABE">
      <w:pPr>
        <w:pStyle w:val="xl28"/>
        <w:pBdr>
          <w:left w:val="none" w:sz="0" w:space="0" w:color="auto"/>
        </w:pBdr>
        <w:spacing w:before="0" w:beforeAutospacing="0" w:after="0" w:afterAutospacing="0"/>
        <w:rPr>
          <w:rFonts w:eastAsia="Times New Roman" w:cs="Arial"/>
          <w:bCs/>
          <w:sz w:val="22"/>
          <w:szCs w:val="22"/>
          <w:lang w:val="fr-FR"/>
        </w:rPr>
      </w:pPr>
    </w:p>
    <w:p w:rsidR="00567C36" w:rsidRDefault="00567C36" w:rsidP="00634ABE">
      <w:pPr>
        <w:pStyle w:val="xl28"/>
        <w:pBdr>
          <w:left w:val="none" w:sz="0" w:space="0" w:color="auto"/>
        </w:pBdr>
        <w:spacing w:before="0" w:beforeAutospacing="0" w:after="0" w:afterAutospacing="0"/>
        <w:rPr>
          <w:rFonts w:eastAsia="Times New Roman" w:cs="Arial"/>
          <w:bCs/>
          <w:sz w:val="22"/>
          <w:szCs w:val="22"/>
          <w:lang w:val="fr-FR"/>
        </w:rPr>
      </w:pPr>
    </w:p>
    <w:p w:rsidR="00A30C1C" w:rsidRDefault="00A30C1C" w:rsidP="00634ABE">
      <w:pPr>
        <w:pStyle w:val="xl28"/>
        <w:pBdr>
          <w:left w:val="none" w:sz="0" w:space="0" w:color="auto"/>
        </w:pBdr>
        <w:spacing w:before="0" w:beforeAutospacing="0" w:after="0" w:afterAutospacing="0"/>
        <w:rPr>
          <w:rFonts w:eastAsia="Times New Roman" w:cs="Arial"/>
          <w:bCs/>
          <w:sz w:val="22"/>
          <w:szCs w:val="22"/>
          <w:lang w:val="fr-FR"/>
        </w:rPr>
      </w:pPr>
    </w:p>
    <w:p w:rsidR="00A30C1C" w:rsidRDefault="00A30C1C" w:rsidP="00634ABE">
      <w:pPr>
        <w:pStyle w:val="xl28"/>
        <w:pBdr>
          <w:left w:val="none" w:sz="0" w:space="0" w:color="auto"/>
        </w:pBdr>
        <w:spacing w:before="0" w:beforeAutospacing="0" w:after="0" w:afterAutospacing="0"/>
        <w:rPr>
          <w:rFonts w:eastAsia="Times New Roman" w:cs="Arial"/>
          <w:bCs/>
          <w:sz w:val="22"/>
          <w:szCs w:val="22"/>
          <w:lang w:val="fr-FR"/>
        </w:rPr>
      </w:pPr>
    </w:p>
    <w:p w:rsidR="00A30C1C" w:rsidRPr="004545E5" w:rsidRDefault="00A30C1C" w:rsidP="00634ABE">
      <w:pPr>
        <w:pStyle w:val="xl28"/>
        <w:pBdr>
          <w:top w:val="single" w:sz="4" w:space="1" w:color="auto"/>
          <w:left w:val="single" w:sz="4" w:space="4" w:color="auto"/>
          <w:bottom w:val="single" w:sz="4" w:space="1" w:color="auto"/>
          <w:right w:val="single" w:sz="4" w:space="4" w:color="auto"/>
        </w:pBdr>
        <w:spacing w:before="0" w:beforeAutospacing="0" w:after="0" w:afterAutospacing="0"/>
        <w:rPr>
          <w:rFonts w:eastAsia="Times New Roman" w:cs="Arial"/>
          <w:bCs/>
          <w:sz w:val="22"/>
          <w:szCs w:val="22"/>
          <w:lang w:val="fr-FR"/>
        </w:rPr>
      </w:pPr>
    </w:p>
    <w:p w:rsidR="000442A0" w:rsidRPr="004545E5" w:rsidRDefault="000442A0" w:rsidP="00634ABE">
      <w:pPr>
        <w:pBdr>
          <w:top w:val="single" w:sz="4" w:space="1" w:color="auto"/>
          <w:left w:val="single" w:sz="4" w:space="4" w:color="auto"/>
          <w:bottom w:val="single" w:sz="4" w:space="1" w:color="auto"/>
          <w:right w:val="single" w:sz="4" w:space="4" w:color="auto"/>
        </w:pBdr>
        <w:jc w:val="both"/>
        <w:rPr>
          <w:rFonts w:ascii="Arial" w:hAnsi="Arial" w:cs="Arial"/>
          <w:sz w:val="22"/>
          <w:szCs w:val="22"/>
          <w:lang w:val="fr-FR" w:eastAsia="en-GB"/>
        </w:rPr>
      </w:pPr>
      <w:r w:rsidRPr="004545E5">
        <w:rPr>
          <w:rFonts w:ascii="Arial" w:hAnsi="Arial" w:cs="Arial"/>
          <w:sz w:val="22"/>
          <w:szCs w:val="22"/>
          <w:lang w:val="fr-FR" w:eastAsia="en-GB"/>
        </w:rPr>
        <w:t>La 19</w:t>
      </w:r>
      <w:r w:rsidRPr="004545E5">
        <w:rPr>
          <w:rFonts w:ascii="Arial" w:hAnsi="Arial" w:cs="Arial"/>
          <w:sz w:val="22"/>
          <w:szCs w:val="22"/>
          <w:vertAlign w:val="superscript"/>
          <w:lang w:val="fr-FR" w:eastAsia="en-GB"/>
        </w:rPr>
        <w:t>e</w:t>
      </w:r>
      <w:r w:rsidRPr="004545E5">
        <w:rPr>
          <w:rFonts w:ascii="Arial" w:hAnsi="Arial" w:cs="Arial"/>
          <w:sz w:val="22"/>
          <w:szCs w:val="22"/>
          <w:lang w:val="fr-FR" w:eastAsia="en-GB"/>
        </w:rPr>
        <w:t xml:space="preserve"> enquête Eurochambres, l’EES2012, apprécie l'évolution des principaux indicateurs de la vie économique en 2011 et met en évidence les prévisions des entreprises pour l’année 2012, et ce en distinguant </w:t>
      </w:r>
      <w:r w:rsidR="00384622">
        <w:rPr>
          <w:rFonts w:ascii="Arial" w:hAnsi="Arial" w:cs="Arial"/>
          <w:sz w:val="22"/>
          <w:szCs w:val="22"/>
          <w:lang w:val="fr-FR" w:eastAsia="en-GB"/>
        </w:rPr>
        <w:t xml:space="preserve">entre </w:t>
      </w:r>
      <w:r w:rsidRPr="004545E5">
        <w:rPr>
          <w:rFonts w:ascii="Arial" w:hAnsi="Arial" w:cs="Arial"/>
          <w:sz w:val="22"/>
          <w:szCs w:val="22"/>
          <w:lang w:val="fr-FR" w:eastAsia="en-GB"/>
        </w:rPr>
        <w:t xml:space="preserve">le secteur </w:t>
      </w:r>
      <w:r w:rsidR="00ED29D4">
        <w:rPr>
          <w:rFonts w:ascii="Arial" w:hAnsi="Arial" w:cs="Arial"/>
          <w:sz w:val="22"/>
          <w:szCs w:val="22"/>
          <w:lang w:val="fr-FR" w:eastAsia="en-GB"/>
        </w:rPr>
        <w:t xml:space="preserve">de l’industrie manufacturière </w:t>
      </w:r>
      <w:r w:rsidRPr="004545E5">
        <w:rPr>
          <w:rFonts w:ascii="Arial" w:hAnsi="Arial" w:cs="Arial"/>
          <w:sz w:val="22"/>
          <w:szCs w:val="22"/>
          <w:lang w:val="fr-FR" w:eastAsia="en-GB"/>
        </w:rPr>
        <w:t>et le secteur des services.</w:t>
      </w:r>
    </w:p>
    <w:p w:rsidR="000442A0" w:rsidRPr="004545E5" w:rsidRDefault="000442A0" w:rsidP="00634ABE">
      <w:pPr>
        <w:pBdr>
          <w:top w:val="single" w:sz="4" w:space="1" w:color="auto"/>
          <w:left w:val="single" w:sz="4" w:space="4" w:color="auto"/>
          <w:bottom w:val="single" w:sz="4" w:space="1" w:color="auto"/>
          <w:right w:val="single" w:sz="4" w:space="4" w:color="auto"/>
        </w:pBdr>
        <w:jc w:val="both"/>
        <w:rPr>
          <w:rFonts w:ascii="Arial" w:hAnsi="Arial" w:cs="Arial"/>
          <w:sz w:val="22"/>
          <w:szCs w:val="22"/>
          <w:lang w:val="fr-FR" w:eastAsia="en-GB"/>
        </w:rPr>
      </w:pPr>
    </w:p>
    <w:p w:rsidR="00953EEA" w:rsidRPr="004545E5" w:rsidRDefault="000442A0" w:rsidP="00634ABE">
      <w:pPr>
        <w:pBdr>
          <w:top w:val="single" w:sz="4" w:space="1" w:color="auto"/>
          <w:left w:val="single" w:sz="4" w:space="4" w:color="auto"/>
          <w:bottom w:val="single" w:sz="4" w:space="1" w:color="auto"/>
          <w:right w:val="single" w:sz="4" w:space="4" w:color="auto"/>
        </w:pBdr>
        <w:jc w:val="both"/>
        <w:rPr>
          <w:rFonts w:ascii="Arial" w:hAnsi="Arial" w:cs="Arial"/>
          <w:sz w:val="22"/>
          <w:szCs w:val="22"/>
          <w:lang w:val="fr-FR" w:eastAsia="en-GB"/>
        </w:rPr>
      </w:pPr>
      <w:r w:rsidRPr="004545E5">
        <w:rPr>
          <w:rFonts w:ascii="Arial" w:hAnsi="Arial" w:cs="Arial"/>
          <w:sz w:val="22"/>
          <w:szCs w:val="22"/>
          <w:lang w:val="fr-FR" w:eastAsia="en-GB"/>
        </w:rPr>
        <w:t xml:space="preserve">La crise économique et financière que traverse l’économie mondiale a un impact significatif sur les entreprises européennes en général, et luxembourgeoises, en particulier. Pour beaucoup d’entre elles, les coûts des facteurs de production, et notamment le travail, ont progressé rapidement, et plus vigoureusement que les gains de productivité </w:t>
      </w:r>
      <w:r w:rsidR="00627C73">
        <w:rPr>
          <w:rFonts w:ascii="Arial" w:hAnsi="Arial" w:cs="Arial"/>
          <w:sz w:val="22"/>
          <w:szCs w:val="22"/>
          <w:lang w:val="fr-FR" w:eastAsia="en-GB"/>
        </w:rPr>
        <w:t xml:space="preserve">l’auraient </w:t>
      </w:r>
      <w:r w:rsidR="007119B3">
        <w:rPr>
          <w:rFonts w:ascii="Arial" w:hAnsi="Arial" w:cs="Arial"/>
          <w:sz w:val="22"/>
          <w:szCs w:val="22"/>
          <w:lang w:val="fr-FR" w:eastAsia="en-GB"/>
        </w:rPr>
        <w:t>permis</w:t>
      </w:r>
      <w:r w:rsidRPr="004545E5">
        <w:rPr>
          <w:rFonts w:ascii="Arial" w:hAnsi="Arial" w:cs="Arial"/>
          <w:sz w:val="22"/>
          <w:szCs w:val="22"/>
          <w:lang w:val="fr-FR" w:eastAsia="en-GB"/>
        </w:rPr>
        <w:t>, avec des effets négatifs sur leurs m</w:t>
      </w:r>
      <w:r w:rsidR="0043204E">
        <w:rPr>
          <w:rFonts w:ascii="Arial" w:hAnsi="Arial" w:cs="Arial"/>
          <w:sz w:val="22"/>
          <w:szCs w:val="22"/>
          <w:lang w:val="fr-FR" w:eastAsia="en-GB"/>
        </w:rPr>
        <w:t>arges</w:t>
      </w:r>
      <w:r w:rsidRPr="004545E5">
        <w:rPr>
          <w:rFonts w:ascii="Arial" w:hAnsi="Arial" w:cs="Arial"/>
          <w:sz w:val="22"/>
          <w:szCs w:val="22"/>
          <w:lang w:val="fr-FR" w:eastAsia="en-GB"/>
        </w:rPr>
        <w:t>.</w:t>
      </w:r>
      <w:r w:rsidR="003B17E1" w:rsidRPr="003B17E1">
        <w:rPr>
          <w:rFonts w:ascii="Arial" w:hAnsi="Arial" w:cs="Arial"/>
          <w:kern w:val="1"/>
          <w:sz w:val="22"/>
          <w:lang w:val="fr-LU" w:eastAsia="ar-SA"/>
        </w:rPr>
        <w:t xml:space="preserve"> </w:t>
      </w:r>
      <w:r w:rsidR="003D2827">
        <w:rPr>
          <w:rFonts w:ascii="Arial" w:hAnsi="Arial" w:cs="Arial"/>
          <w:kern w:val="1"/>
          <w:sz w:val="22"/>
          <w:lang w:val="fr-LU" w:eastAsia="ar-SA"/>
        </w:rPr>
        <w:t>De plus, a</w:t>
      </w:r>
      <w:r w:rsidR="00953EEA" w:rsidRPr="004C667E">
        <w:rPr>
          <w:rFonts w:ascii="Arial" w:hAnsi="Arial" w:cs="Arial"/>
          <w:sz w:val="22"/>
          <w:szCs w:val="22"/>
          <w:lang w:val="fr-FR" w:eastAsia="en-GB"/>
        </w:rPr>
        <w:t>près plusieurs révisions à la baisse</w:t>
      </w:r>
      <w:r w:rsidR="00953EEA">
        <w:rPr>
          <w:rFonts w:ascii="Arial" w:hAnsi="Arial" w:cs="Arial"/>
          <w:sz w:val="22"/>
          <w:szCs w:val="22"/>
          <w:lang w:val="fr-FR" w:eastAsia="en-GB"/>
        </w:rPr>
        <w:t xml:space="preserve"> de la croissance du PIB</w:t>
      </w:r>
      <w:r w:rsidR="00384622">
        <w:rPr>
          <w:rFonts w:ascii="Arial" w:hAnsi="Arial" w:cs="Arial"/>
          <w:sz w:val="22"/>
          <w:szCs w:val="22"/>
          <w:lang w:val="fr-FR" w:eastAsia="en-GB"/>
        </w:rPr>
        <w:t xml:space="preserve"> au Luxembourg</w:t>
      </w:r>
      <w:r w:rsidR="00953EEA" w:rsidRPr="004C667E">
        <w:rPr>
          <w:rFonts w:ascii="Arial" w:hAnsi="Arial" w:cs="Arial"/>
          <w:sz w:val="22"/>
          <w:szCs w:val="22"/>
          <w:lang w:val="fr-FR" w:eastAsia="en-GB"/>
        </w:rPr>
        <w:t>, les estimations pour 2011 s’établissent désormais à 2,0% et les prévisions pour 2012 atteignent 1,4%. Quant à l’OCDE, elle prévoit également une croissance de 2,0% en 2011, mais seulement +0,4% en 2012.</w:t>
      </w:r>
    </w:p>
    <w:p w:rsidR="003B17E1" w:rsidRDefault="003B17E1" w:rsidP="00634ABE">
      <w:pPr>
        <w:pBdr>
          <w:top w:val="single" w:sz="4" w:space="1" w:color="auto"/>
          <w:left w:val="single" w:sz="4" w:space="4" w:color="auto"/>
          <w:bottom w:val="single" w:sz="4" w:space="1" w:color="auto"/>
          <w:right w:val="single" w:sz="4" w:space="4" w:color="auto"/>
        </w:pBdr>
        <w:jc w:val="both"/>
        <w:rPr>
          <w:rFonts w:ascii="Arial" w:hAnsi="Arial" w:cs="Arial"/>
          <w:kern w:val="1"/>
          <w:sz w:val="22"/>
          <w:lang w:val="fr-LU" w:eastAsia="ar-SA"/>
        </w:rPr>
      </w:pPr>
    </w:p>
    <w:p w:rsidR="00EA2E75" w:rsidRDefault="00A30C1C" w:rsidP="00634ABE">
      <w:pPr>
        <w:pBdr>
          <w:top w:val="single" w:sz="4" w:space="1" w:color="auto"/>
          <w:left w:val="single" w:sz="4" w:space="4" w:color="auto"/>
          <w:bottom w:val="single" w:sz="4" w:space="1" w:color="auto"/>
          <w:right w:val="single" w:sz="4" w:space="4" w:color="auto"/>
        </w:pBdr>
        <w:jc w:val="both"/>
        <w:rPr>
          <w:rFonts w:ascii="Arial" w:hAnsi="Arial" w:cs="Arial"/>
          <w:sz w:val="22"/>
          <w:szCs w:val="22"/>
          <w:lang w:val="fr-LU" w:eastAsia="en-GB"/>
        </w:rPr>
      </w:pPr>
      <w:r>
        <w:rPr>
          <w:rFonts w:ascii="Arial" w:hAnsi="Arial" w:cs="Arial"/>
          <w:sz w:val="22"/>
          <w:szCs w:val="22"/>
          <w:lang w:val="fr-LU" w:eastAsia="en-GB"/>
        </w:rPr>
        <w:t>L</w:t>
      </w:r>
      <w:r w:rsidR="00EB519D">
        <w:rPr>
          <w:rFonts w:ascii="Arial" w:hAnsi="Arial" w:cs="Arial"/>
          <w:sz w:val="22"/>
          <w:szCs w:val="22"/>
          <w:lang w:val="fr-LU" w:eastAsia="en-GB"/>
        </w:rPr>
        <w:t>a situation économique en Europe et au Luxembourg s’est notablement dégradée depuis l’été 2011. L</w:t>
      </w:r>
      <w:r>
        <w:rPr>
          <w:rFonts w:ascii="Arial" w:hAnsi="Arial" w:cs="Arial"/>
          <w:sz w:val="22"/>
          <w:szCs w:val="22"/>
          <w:lang w:val="fr-LU" w:eastAsia="en-GB"/>
        </w:rPr>
        <w:t xml:space="preserve">’absence d’une solution politique durable et rapide à la crise des dettes souveraines en Europe comporte une incertitude élevée auprès des agents économiques et accroît la volatilité des marchés. </w:t>
      </w:r>
      <w:r w:rsidR="00083BEF">
        <w:rPr>
          <w:rFonts w:ascii="Arial" w:hAnsi="Arial" w:cs="Arial"/>
          <w:sz w:val="22"/>
          <w:szCs w:val="22"/>
          <w:lang w:val="fr-LU" w:eastAsia="en-GB"/>
        </w:rPr>
        <w:t xml:space="preserve">Les résultats de l’EES2012 reflètent les </w:t>
      </w:r>
      <w:r>
        <w:rPr>
          <w:rFonts w:ascii="Arial" w:hAnsi="Arial" w:cs="Arial"/>
          <w:sz w:val="22"/>
          <w:szCs w:val="22"/>
          <w:lang w:val="fr-LU" w:eastAsia="en-GB"/>
        </w:rPr>
        <w:t>inquiétude</w:t>
      </w:r>
      <w:r w:rsidR="00083BEF">
        <w:rPr>
          <w:rFonts w:ascii="Arial" w:hAnsi="Arial" w:cs="Arial"/>
          <w:sz w:val="22"/>
          <w:szCs w:val="22"/>
          <w:lang w:val="fr-LU" w:eastAsia="en-GB"/>
        </w:rPr>
        <w:t>s</w:t>
      </w:r>
      <w:r>
        <w:rPr>
          <w:rFonts w:ascii="Arial" w:hAnsi="Arial" w:cs="Arial"/>
          <w:sz w:val="22"/>
          <w:szCs w:val="22"/>
          <w:lang w:val="fr-LU" w:eastAsia="en-GB"/>
        </w:rPr>
        <w:t xml:space="preserve"> des entreprises</w:t>
      </w:r>
      <w:r w:rsidR="00083BEF">
        <w:rPr>
          <w:rFonts w:ascii="Arial" w:hAnsi="Arial" w:cs="Arial"/>
          <w:sz w:val="22"/>
          <w:szCs w:val="22"/>
          <w:lang w:val="fr-LU" w:eastAsia="en-GB"/>
        </w:rPr>
        <w:t xml:space="preserve"> </w:t>
      </w:r>
      <w:r w:rsidR="00EB519D">
        <w:rPr>
          <w:rFonts w:ascii="Arial" w:hAnsi="Arial" w:cs="Arial"/>
          <w:sz w:val="22"/>
          <w:szCs w:val="22"/>
          <w:lang w:val="fr-LU" w:eastAsia="en-GB"/>
        </w:rPr>
        <w:t xml:space="preserve">luxembourgeoises </w:t>
      </w:r>
      <w:r w:rsidR="00083BEF">
        <w:rPr>
          <w:rFonts w:ascii="Arial" w:hAnsi="Arial" w:cs="Arial"/>
          <w:sz w:val="22"/>
          <w:szCs w:val="22"/>
          <w:lang w:val="fr-LU" w:eastAsia="en-GB"/>
        </w:rPr>
        <w:t xml:space="preserve">au niveau de leurs appréciations quant à l’évolution économique en 2012, alors que l’évolution inhérente à la première partie de l’exercice 2011 avait donné lieu à un certain </w:t>
      </w:r>
      <w:r w:rsidR="00DA7386">
        <w:rPr>
          <w:rFonts w:ascii="Arial" w:hAnsi="Arial" w:cs="Arial"/>
          <w:sz w:val="22"/>
          <w:szCs w:val="22"/>
          <w:lang w:val="fr-LU" w:eastAsia="en-GB"/>
        </w:rPr>
        <w:t>espoir</w:t>
      </w:r>
      <w:r w:rsidR="00083BEF">
        <w:rPr>
          <w:rFonts w:ascii="Arial" w:hAnsi="Arial" w:cs="Arial"/>
          <w:sz w:val="22"/>
          <w:szCs w:val="22"/>
          <w:lang w:val="fr-LU" w:eastAsia="en-GB"/>
        </w:rPr>
        <w:t xml:space="preserve"> de leur part. </w:t>
      </w:r>
      <w:r w:rsidR="00EB519D">
        <w:rPr>
          <w:rFonts w:ascii="Arial" w:hAnsi="Arial" w:cs="Arial"/>
          <w:sz w:val="22"/>
          <w:szCs w:val="22"/>
          <w:lang w:val="fr-LU" w:eastAsia="en-GB"/>
        </w:rPr>
        <w:t>A l’heure actuelle, se pose la question si une récession pourra être évitée en 2012</w:t>
      </w:r>
      <w:r w:rsidR="00F23430">
        <w:rPr>
          <w:rFonts w:ascii="Arial" w:hAnsi="Arial" w:cs="Arial"/>
          <w:sz w:val="22"/>
          <w:szCs w:val="22"/>
          <w:lang w:val="fr-LU" w:eastAsia="en-GB"/>
        </w:rPr>
        <w:t>. Les indicateurs de l’enquête Eurochambres indiquent</w:t>
      </w:r>
      <w:r w:rsidR="00384622">
        <w:rPr>
          <w:rFonts w:ascii="Arial" w:hAnsi="Arial" w:cs="Arial"/>
          <w:sz w:val="22"/>
          <w:szCs w:val="22"/>
          <w:lang w:val="fr-LU" w:eastAsia="en-GB"/>
        </w:rPr>
        <w:t xml:space="preserve"> en tout cas</w:t>
      </w:r>
      <w:r w:rsidR="00F23430">
        <w:rPr>
          <w:rFonts w:ascii="Arial" w:hAnsi="Arial" w:cs="Arial"/>
          <w:sz w:val="22"/>
          <w:szCs w:val="22"/>
          <w:lang w:val="fr-LU" w:eastAsia="en-GB"/>
        </w:rPr>
        <w:t xml:space="preserve"> que les entreprises n’excluent pas </w:t>
      </w:r>
      <w:r w:rsidR="002B3091">
        <w:rPr>
          <w:rFonts w:ascii="Arial" w:hAnsi="Arial" w:cs="Arial"/>
          <w:sz w:val="22"/>
          <w:szCs w:val="22"/>
          <w:lang w:val="fr-LU" w:eastAsia="en-GB"/>
        </w:rPr>
        <w:t xml:space="preserve">le </w:t>
      </w:r>
      <w:r w:rsidR="00F23430">
        <w:rPr>
          <w:rFonts w:ascii="Arial" w:hAnsi="Arial" w:cs="Arial"/>
          <w:sz w:val="22"/>
          <w:szCs w:val="22"/>
          <w:lang w:val="fr-LU" w:eastAsia="en-GB"/>
        </w:rPr>
        <w:t>scénario</w:t>
      </w:r>
      <w:r w:rsidR="002B3091">
        <w:rPr>
          <w:rFonts w:ascii="Arial" w:hAnsi="Arial" w:cs="Arial"/>
          <w:sz w:val="22"/>
          <w:szCs w:val="22"/>
          <w:lang w:val="fr-LU" w:eastAsia="en-GB"/>
        </w:rPr>
        <w:t xml:space="preserve"> d’une nouvelle récession économique</w:t>
      </w:r>
      <w:r w:rsidR="00F23430">
        <w:rPr>
          <w:rFonts w:ascii="Arial" w:hAnsi="Arial" w:cs="Arial"/>
          <w:sz w:val="22"/>
          <w:szCs w:val="22"/>
          <w:lang w:val="fr-LU" w:eastAsia="en-GB"/>
        </w:rPr>
        <w:t>.</w:t>
      </w:r>
    </w:p>
    <w:p w:rsidR="00083BEF" w:rsidRPr="004545E5" w:rsidRDefault="00083BEF" w:rsidP="00634ABE">
      <w:pPr>
        <w:pBdr>
          <w:top w:val="single" w:sz="4" w:space="1" w:color="auto"/>
          <w:left w:val="single" w:sz="4" w:space="4" w:color="auto"/>
          <w:bottom w:val="single" w:sz="4" w:space="1" w:color="auto"/>
          <w:right w:val="single" w:sz="4" w:space="4" w:color="auto"/>
        </w:pBdr>
        <w:jc w:val="both"/>
        <w:rPr>
          <w:rFonts w:ascii="Arial" w:hAnsi="Arial" w:cs="Arial"/>
          <w:sz w:val="22"/>
          <w:szCs w:val="22"/>
          <w:lang w:val="fr-FR" w:eastAsia="en-GB"/>
        </w:rPr>
      </w:pPr>
    </w:p>
    <w:p w:rsidR="00A309BC" w:rsidRDefault="00A309BC" w:rsidP="00634ABE">
      <w:pPr>
        <w:jc w:val="both"/>
        <w:rPr>
          <w:rFonts w:ascii="Arial" w:hAnsi="Arial" w:cs="Arial"/>
          <w:b/>
          <w:sz w:val="22"/>
          <w:szCs w:val="22"/>
          <w:u w:val="single"/>
          <w:lang w:val="fr-BE"/>
        </w:rPr>
      </w:pPr>
    </w:p>
    <w:p w:rsidR="000805F2" w:rsidRDefault="000805F2">
      <w:pPr>
        <w:rPr>
          <w:rFonts w:ascii="Arial" w:hAnsi="Arial" w:cs="Arial"/>
          <w:b/>
          <w:sz w:val="22"/>
          <w:szCs w:val="22"/>
          <w:u w:val="single"/>
          <w:lang w:val="fr-BE"/>
        </w:rPr>
      </w:pPr>
      <w:r>
        <w:rPr>
          <w:rFonts w:ascii="Arial" w:hAnsi="Arial" w:cs="Arial"/>
          <w:b/>
          <w:sz w:val="22"/>
          <w:szCs w:val="22"/>
          <w:u w:val="single"/>
          <w:lang w:val="fr-BE"/>
        </w:rPr>
        <w:br w:type="page"/>
      </w:r>
    </w:p>
    <w:p w:rsidR="004545E5" w:rsidRPr="004545E5" w:rsidRDefault="004545E5" w:rsidP="00634ABE">
      <w:pPr>
        <w:jc w:val="both"/>
        <w:rPr>
          <w:rFonts w:ascii="Arial" w:hAnsi="Arial" w:cs="Arial"/>
          <w:b/>
          <w:sz w:val="22"/>
          <w:szCs w:val="22"/>
          <w:u w:val="single"/>
          <w:lang w:val="fr-BE"/>
        </w:rPr>
      </w:pPr>
      <w:r w:rsidRPr="004545E5">
        <w:rPr>
          <w:rFonts w:ascii="Arial" w:hAnsi="Arial" w:cs="Arial"/>
          <w:b/>
          <w:sz w:val="22"/>
          <w:szCs w:val="22"/>
          <w:u w:val="single"/>
          <w:lang w:val="fr-BE"/>
        </w:rPr>
        <w:lastRenderedPageBreak/>
        <w:t xml:space="preserve">Evolutions </w:t>
      </w:r>
      <w:r w:rsidR="00B43E7D" w:rsidRPr="00B43E7D">
        <w:rPr>
          <w:rFonts w:ascii="Arial" w:hAnsi="Arial" w:cs="Arial"/>
          <w:b/>
          <w:sz w:val="22"/>
          <w:szCs w:val="22"/>
          <w:u w:val="single"/>
          <w:lang w:val="fr-FR"/>
        </w:rPr>
        <w:t xml:space="preserve">entre 2010 et 2011 </w:t>
      </w:r>
      <w:r w:rsidRPr="004545E5">
        <w:rPr>
          <w:rFonts w:ascii="Arial" w:hAnsi="Arial" w:cs="Arial"/>
          <w:b/>
          <w:sz w:val="22"/>
          <w:szCs w:val="22"/>
          <w:u w:val="single"/>
          <w:lang w:val="fr-BE"/>
        </w:rPr>
        <w:t>des principaux indicateurs économiques</w:t>
      </w:r>
      <w:r w:rsidR="003D183E">
        <w:rPr>
          <w:rFonts w:ascii="Arial" w:hAnsi="Arial" w:cs="Arial"/>
          <w:b/>
          <w:sz w:val="22"/>
          <w:szCs w:val="22"/>
          <w:u w:val="single"/>
          <w:lang w:val="fr-BE"/>
        </w:rPr>
        <w:t xml:space="preserve"> : </w:t>
      </w:r>
      <w:r w:rsidR="002B3091">
        <w:rPr>
          <w:rFonts w:ascii="Arial" w:hAnsi="Arial" w:cs="Arial"/>
          <w:b/>
          <w:sz w:val="22"/>
          <w:szCs w:val="22"/>
          <w:u w:val="single"/>
          <w:lang w:val="fr-BE"/>
        </w:rPr>
        <w:t>la fin des performances macroéconomiques historiques</w:t>
      </w:r>
    </w:p>
    <w:p w:rsidR="004545E5" w:rsidRDefault="004545E5" w:rsidP="00634ABE">
      <w:pPr>
        <w:jc w:val="both"/>
        <w:rPr>
          <w:rFonts w:ascii="Arial" w:hAnsi="Arial" w:cs="Arial"/>
          <w:sz w:val="22"/>
          <w:szCs w:val="22"/>
          <w:lang w:val="fr-BE"/>
        </w:rPr>
      </w:pPr>
    </w:p>
    <w:p w:rsidR="00A309BC" w:rsidRDefault="00A309BC" w:rsidP="00634ABE">
      <w:pPr>
        <w:jc w:val="both"/>
        <w:rPr>
          <w:rFonts w:ascii="Arial" w:hAnsi="Arial" w:cs="Arial"/>
          <w:sz w:val="22"/>
          <w:szCs w:val="22"/>
          <w:lang w:val="fr-BE"/>
        </w:rPr>
      </w:pPr>
    </w:p>
    <w:p w:rsidR="004F5574" w:rsidRPr="005C1A88" w:rsidRDefault="005C1A88" w:rsidP="00634ABE">
      <w:pPr>
        <w:jc w:val="both"/>
        <w:rPr>
          <w:rFonts w:ascii="Arial" w:hAnsi="Arial" w:cs="Arial"/>
          <w:b/>
          <w:sz w:val="22"/>
          <w:szCs w:val="22"/>
          <w:lang w:val="fr-FR"/>
        </w:rPr>
      </w:pPr>
      <w:r>
        <w:rPr>
          <w:rFonts w:ascii="Arial" w:hAnsi="Arial" w:cs="Arial"/>
          <w:b/>
          <w:sz w:val="22"/>
          <w:szCs w:val="22"/>
          <w:lang w:val="fr-FR"/>
        </w:rPr>
        <w:t>1. C</w:t>
      </w:r>
      <w:r w:rsidR="004F5574" w:rsidRPr="005C1A88">
        <w:rPr>
          <w:rFonts w:ascii="Arial" w:hAnsi="Arial" w:cs="Arial"/>
          <w:b/>
          <w:sz w:val="22"/>
          <w:szCs w:val="22"/>
          <w:lang w:val="fr-FR"/>
        </w:rPr>
        <w:t>limat des affaires</w:t>
      </w:r>
      <w:r w:rsidR="00DB26DE">
        <w:rPr>
          <w:rFonts w:ascii="Arial" w:hAnsi="Arial" w:cs="Arial"/>
          <w:sz w:val="22"/>
          <w:szCs w:val="22"/>
          <w:lang w:val="fr-FR"/>
        </w:rPr>
        <w:t xml:space="preserve"> : </w:t>
      </w:r>
      <w:r w:rsidR="002B3091">
        <w:rPr>
          <w:rFonts w:ascii="Arial" w:hAnsi="Arial" w:cs="Arial"/>
          <w:b/>
          <w:sz w:val="22"/>
          <w:szCs w:val="22"/>
          <w:lang w:val="fr-FR"/>
        </w:rPr>
        <w:t>Une dégradation qui s’est amplifiée au cours de l’année 2011</w:t>
      </w:r>
    </w:p>
    <w:p w:rsidR="006053D6" w:rsidRDefault="006053D6" w:rsidP="00634ABE">
      <w:pPr>
        <w:jc w:val="both"/>
        <w:rPr>
          <w:rFonts w:ascii="Arial" w:hAnsi="Arial" w:cs="Arial"/>
          <w:sz w:val="22"/>
          <w:szCs w:val="22"/>
          <w:lang w:val="fr-FR"/>
        </w:rPr>
      </w:pPr>
    </w:p>
    <w:p w:rsidR="004545E5" w:rsidRPr="005E09CC" w:rsidRDefault="004D3E6C" w:rsidP="00634ABE">
      <w:pPr>
        <w:jc w:val="both"/>
        <w:rPr>
          <w:rFonts w:ascii="Arial" w:hAnsi="Arial" w:cs="Arial"/>
          <w:sz w:val="22"/>
          <w:szCs w:val="22"/>
          <w:lang w:val="fr-LU"/>
        </w:rPr>
      </w:pPr>
      <w:r>
        <w:rPr>
          <w:rFonts w:ascii="Arial" w:hAnsi="Arial" w:cs="Arial"/>
          <w:sz w:val="22"/>
          <w:szCs w:val="22"/>
          <w:lang w:val="fr-FR"/>
        </w:rPr>
        <w:t xml:space="preserve">Les </w:t>
      </w:r>
      <w:r w:rsidRPr="004D3E6C">
        <w:rPr>
          <w:rFonts w:ascii="Arial" w:hAnsi="Arial" w:cs="Arial"/>
          <w:sz w:val="22"/>
          <w:szCs w:val="22"/>
          <w:lang w:val="fr-FR"/>
        </w:rPr>
        <w:t xml:space="preserve">résultats relatifs au climat des affaires </w:t>
      </w:r>
      <w:r w:rsidR="00391B98">
        <w:rPr>
          <w:rFonts w:ascii="Arial" w:hAnsi="Arial" w:cs="Arial"/>
          <w:sz w:val="22"/>
          <w:szCs w:val="22"/>
          <w:lang w:val="fr-FR"/>
        </w:rPr>
        <w:t>expriment</w:t>
      </w:r>
      <w:r w:rsidR="005E09CC" w:rsidRPr="005E09CC">
        <w:rPr>
          <w:rFonts w:ascii="Arial" w:hAnsi="Arial" w:cs="Arial"/>
          <w:sz w:val="22"/>
          <w:szCs w:val="22"/>
          <w:lang w:val="fr-FR"/>
        </w:rPr>
        <w:t xml:space="preserve"> une détérioration </w:t>
      </w:r>
      <w:r w:rsidR="00391B98">
        <w:rPr>
          <w:rFonts w:ascii="Arial" w:hAnsi="Arial" w:cs="Arial"/>
          <w:sz w:val="22"/>
          <w:szCs w:val="22"/>
          <w:lang w:val="fr-FR"/>
        </w:rPr>
        <w:t xml:space="preserve">continue de cet indicateur </w:t>
      </w:r>
      <w:r w:rsidR="005E09CC">
        <w:rPr>
          <w:rFonts w:ascii="Arial" w:hAnsi="Arial" w:cs="Arial"/>
          <w:sz w:val="22"/>
          <w:szCs w:val="22"/>
          <w:lang w:val="fr-FR"/>
        </w:rPr>
        <w:t>entre 2010 et 2011.</w:t>
      </w:r>
      <w:r w:rsidR="004416E8">
        <w:rPr>
          <w:rFonts w:ascii="Arial" w:hAnsi="Arial" w:cs="Arial"/>
          <w:sz w:val="22"/>
          <w:szCs w:val="22"/>
          <w:lang w:val="fr-FR"/>
        </w:rPr>
        <w:t xml:space="preserve"> Les balances nettes</w:t>
      </w:r>
      <w:r w:rsidR="00627C73">
        <w:rPr>
          <w:rFonts w:ascii="Arial" w:hAnsi="Arial" w:cs="Arial"/>
          <w:sz w:val="22"/>
          <w:szCs w:val="22"/>
          <w:lang w:val="fr-FR"/>
        </w:rPr>
        <w:t>, c’est-à-dire la différence entre les réponses favorables et défavorables,</w:t>
      </w:r>
      <w:r w:rsidR="004416E8">
        <w:rPr>
          <w:rFonts w:ascii="Arial" w:hAnsi="Arial" w:cs="Arial"/>
          <w:sz w:val="22"/>
          <w:szCs w:val="22"/>
          <w:lang w:val="fr-FR"/>
        </w:rPr>
        <w:t xml:space="preserve"> s’avèrent</w:t>
      </w:r>
      <w:r w:rsidR="00851A01">
        <w:rPr>
          <w:rFonts w:ascii="Arial" w:hAnsi="Arial" w:cs="Arial"/>
          <w:sz w:val="22"/>
          <w:szCs w:val="22"/>
          <w:lang w:val="fr-FR"/>
        </w:rPr>
        <w:t>,</w:t>
      </w:r>
      <w:r w:rsidR="004416E8">
        <w:rPr>
          <w:rFonts w:ascii="Arial" w:hAnsi="Arial" w:cs="Arial"/>
          <w:sz w:val="22"/>
          <w:szCs w:val="22"/>
          <w:lang w:val="fr-FR"/>
        </w:rPr>
        <w:t xml:space="preserve"> en effet</w:t>
      </w:r>
      <w:r w:rsidR="00851A01">
        <w:rPr>
          <w:rFonts w:ascii="Arial" w:hAnsi="Arial" w:cs="Arial"/>
          <w:sz w:val="22"/>
          <w:szCs w:val="22"/>
          <w:lang w:val="fr-FR"/>
        </w:rPr>
        <w:t>,</w:t>
      </w:r>
      <w:r w:rsidR="004416E8">
        <w:rPr>
          <w:rFonts w:ascii="Arial" w:hAnsi="Arial" w:cs="Arial"/>
          <w:sz w:val="22"/>
          <w:szCs w:val="22"/>
          <w:lang w:val="fr-FR"/>
        </w:rPr>
        <w:t xml:space="preserve"> fortement négatives dans les deux sous-secteurs analysés,</w:t>
      </w:r>
      <w:r>
        <w:rPr>
          <w:rFonts w:ascii="Arial" w:hAnsi="Arial" w:cs="Arial"/>
          <w:sz w:val="22"/>
          <w:szCs w:val="22"/>
          <w:lang w:val="fr-FR"/>
        </w:rPr>
        <w:t xml:space="preserve"> à savoir l’industrie manufacturière </w:t>
      </w:r>
      <w:r w:rsidR="00DA7386">
        <w:rPr>
          <w:rFonts w:ascii="Arial" w:hAnsi="Arial" w:cs="Arial"/>
          <w:sz w:val="22"/>
          <w:szCs w:val="22"/>
          <w:lang w:val="fr-FR"/>
        </w:rPr>
        <w:t xml:space="preserve">(-13,9 points) </w:t>
      </w:r>
      <w:r>
        <w:rPr>
          <w:rFonts w:ascii="Arial" w:hAnsi="Arial" w:cs="Arial"/>
          <w:sz w:val="22"/>
          <w:szCs w:val="22"/>
          <w:lang w:val="fr-FR"/>
        </w:rPr>
        <w:t>et les services</w:t>
      </w:r>
      <w:r w:rsidR="00DA7386">
        <w:rPr>
          <w:rFonts w:ascii="Arial" w:hAnsi="Arial" w:cs="Arial"/>
          <w:sz w:val="22"/>
          <w:szCs w:val="22"/>
          <w:lang w:val="fr-FR"/>
        </w:rPr>
        <w:t xml:space="preserve"> (-23,2 points)</w:t>
      </w:r>
      <w:r>
        <w:rPr>
          <w:rFonts w:ascii="Arial" w:hAnsi="Arial" w:cs="Arial"/>
          <w:sz w:val="22"/>
          <w:szCs w:val="22"/>
          <w:lang w:val="fr-FR"/>
        </w:rPr>
        <w:t>,</w:t>
      </w:r>
      <w:r w:rsidR="004416E8">
        <w:rPr>
          <w:rFonts w:ascii="Arial" w:hAnsi="Arial" w:cs="Arial"/>
          <w:sz w:val="22"/>
          <w:szCs w:val="22"/>
          <w:lang w:val="fr-FR"/>
        </w:rPr>
        <w:t xml:space="preserve"> et par conséquent pour l’économie globale</w:t>
      </w:r>
      <w:r w:rsidR="00DA7386">
        <w:rPr>
          <w:rFonts w:ascii="Arial" w:hAnsi="Arial" w:cs="Arial"/>
          <w:sz w:val="22"/>
          <w:szCs w:val="22"/>
          <w:lang w:val="fr-FR"/>
        </w:rPr>
        <w:t xml:space="preserve"> (-20,3 points)</w:t>
      </w:r>
      <w:r w:rsidR="000128DB">
        <w:rPr>
          <w:rFonts w:ascii="Arial" w:hAnsi="Arial" w:cs="Arial"/>
          <w:sz w:val="22"/>
          <w:szCs w:val="22"/>
          <w:lang w:val="fr-FR"/>
        </w:rPr>
        <w:t>.</w:t>
      </w:r>
    </w:p>
    <w:p w:rsidR="000128DB" w:rsidRDefault="000128DB" w:rsidP="00634ABE">
      <w:pPr>
        <w:pStyle w:val="CDCnormal"/>
      </w:pPr>
    </w:p>
    <w:p w:rsidR="0065537F" w:rsidRPr="005E6BE9" w:rsidRDefault="005E6BE9" w:rsidP="00634ABE">
      <w:pPr>
        <w:pStyle w:val="CDCnormal"/>
        <w:rPr>
          <w:lang w:val="fr-LU"/>
        </w:rPr>
      </w:pPr>
      <w:r>
        <w:rPr>
          <w:lang w:val="fr-LU"/>
        </w:rPr>
        <w:t xml:space="preserve">Cette tendance négative s’explique notamment par les </w:t>
      </w:r>
      <w:r w:rsidRPr="005E6BE9">
        <w:rPr>
          <w:lang w:val="fr-LU"/>
        </w:rPr>
        <w:t xml:space="preserve">incertitudes </w:t>
      </w:r>
      <w:r>
        <w:rPr>
          <w:lang w:val="fr-LU"/>
        </w:rPr>
        <w:t xml:space="preserve">croissantes </w:t>
      </w:r>
      <w:r w:rsidRPr="005E6BE9">
        <w:rPr>
          <w:lang w:val="fr-LU"/>
        </w:rPr>
        <w:t xml:space="preserve">auxquelles </w:t>
      </w:r>
      <w:r w:rsidR="00384622">
        <w:rPr>
          <w:lang w:val="fr-LU"/>
        </w:rPr>
        <w:t>les entreprises</w:t>
      </w:r>
      <w:r w:rsidRPr="005E6BE9">
        <w:rPr>
          <w:lang w:val="fr-LU"/>
        </w:rPr>
        <w:t xml:space="preserve"> </w:t>
      </w:r>
      <w:r>
        <w:rPr>
          <w:lang w:val="fr-LU"/>
        </w:rPr>
        <w:t xml:space="preserve">ont fait </w:t>
      </w:r>
      <w:r w:rsidRPr="005E6BE9">
        <w:rPr>
          <w:lang w:val="fr-LU"/>
        </w:rPr>
        <w:t>face</w:t>
      </w:r>
      <w:r>
        <w:rPr>
          <w:lang w:val="fr-LU"/>
        </w:rPr>
        <w:t>,</w:t>
      </w:r>
      <w:r w:rsidRPr="005E6BE9">
        <w:rPr>
          <w:lang w:val="fr-LU"/>
        </w:rPr>
        <w:t xml:space="preserve"> </w:t>
      </w:r>
      <w:r>
        <w:rPr>
          <w:lang w:val="fr-LU"/>
        </w:rPr>
        <w:t>surtout</w:t>
      </w:r>
      <w:r w:rsidRPr="005E6BE9">
        <w:rPr>
          <w:lang w:val="fr-LU"/>
        </w:rPr>
        <w:t xml:space="preserve"> </w:t>
      </w:r>
      <w:r>
        <w:rPr>
          <w:lang w:val="fr-LU"/>
        </w:rPr>
        <w:t xml:space="preserve">depuis l’été 2011, et par </w:t>
      </w:r>
      <w:r w:rsidR="00384622">
        <w:rPr>
          <w:lang w:val="fr-LU"/>
        </w:rPr>
        <w:t>une</w:t>
      </w:r>
      <w:r>
        <w:rPr>
          <w:lang w:val="fr-LU"/>
        </w:rPr>
        <w:t xml:space="preserve"> conjoncture</w:t>
      </w:r>
      <w:r w:rsidRPr="005E6BE9">
        <w:rPr>
          <w:lang w:val="fr-LU"/>
        </w:rPr>
        <w:t xml:space="preserve"> particulièrement volatile et incertaine.</w:t>
      </w:r>
    </w:p>
    <w:p w:rsidR="005E6BE9" w:rsidRPr="005E6BE9" w:rsidRDefault="005E6BE9" w:rsidP="00634ABE">
      <w:pPr>
        <w:pStyle w:val="CDCnormal"/>
        <w:rPr>
          <w:lang w:val="fr-LU"/>
        </w:rPr>
      </w:pPr>
    </w:p>
    <w:p w:rsidR="00A309BC" w:rsidRPr="00A61129" w:rsidRDefault="00384622" w:rsidP="00634ABE">
      <w:pPr>
        <w:pStyle w:val="CDCnormal"/>
        <w:rPr>
          <w:color w:val="FF0000"/>
          <w:lang w:val="fr-LU"/>
        </w:rPr>
      </w:pPr>
      <w:r>
        <w:rPr>
          <w:lang w:val="fr-LU"/>
        </w:rPr>
        <w:t>Moins de</w:t>
      </w:r>
      <w:r w:rsidR="005E6BE9">
        <w:rPr>
          <w:lang w:val="fr-LU"/>
        </w:rPr>
        <w:t xml:space="preserve"> la moitié des chefs d’entreprises interrogés (45,8%) a déclaré que l’environnement des affaires n’a pas évolué entre 2010 et 2011 pour leur entreprise. </w:t>
      </w:r>
    </w:p>
    <w:p w:rsidR="0065537F" w:rsidRDefault="0065537F" w:rsidP="00634ABE">
      <w:pPr>
        <w:pStyle w:val="CDCnormal"/>
        <w:rPr>
          <w:lang w:val="fr-LU"/>
        </w:rPr>
      </w:pPr>
    </w:p>
    <w:p w:rsidR="0096142F" w:rsidRPr="006B3ADC" w:rsidRDefault="005C1A88" w:rsidP="00634ABE">
      <w:pPr>
        <w:jc w:val="both"/>
        <w:rPr>
          <w:rFonts w:ascii="Arial" w:hAnsi="Arial" w:cs="Arial"/>
          <w:i/>
          <w:sz w:val="22"/>
          <w:szCs w:val="22"/>
          <w:lang w:val="fr-FR"/>
        </w:rPr>
      </w:pPr>
      <w:r w:rsidRPr="005C1A88">
        <w:rPr>
          <w:rFonts w:ascii="Arial" w:hAnsi="Arial" w:cs="Arial"/>
          <w:b/>
          <w:sz w:val="22"/>
          <w:szCs w:val="22"/>
          <w:lang w:val="fr-FR"/>
        </w:rPr>
        <w:t>2. Chiffre d’affaires total, national et à l’exportation</w:t>
      </w:r>
      <w:r w:rsidR="00D86E09">
        <w:rPr>
          <w:rFonts w:ascii="Arial" w:hAnsi="Arial" w:cs="Arial"/>
          <w:b/>
          <w:sz w:val="22"/>
          <w:szCs w:val="22"/>
          <w:lang w:val="fr-FR"/>
        </w:rPr>
        <w:t xml:space="preserve"> : </w:t>
      </w:r>
      <w:r w:rsidR="006B3ADC" w:rsidRPr="005E4D5F">
        <w:rPr>
          <w:rFonts w:ascii="Arial" w:hAnsi="Arial" w:cs="Arial"/>
          <w:b/>
          <w:sz w:val="22"/>
          <w:szCs w:val="22"/>
          <w:lang w:val="fr-FR"/>
        </w:rPr>
        <w:t>Malgré un chiffre d’affaires en hausse pour les entreprises en 2011 par rapport en 2010, le niveau d’avant-crise n’est pas encore atteint pour beaucoup d’entre elles</w:t>
      </w:r>
      <w:r w:rsidR="00D05342">
        <w:rPr>
          <w:rFonts w:ascii="Arial" w:hAnsi="Arial" w:cs="Arial"/>
          <w:i/>
          <w:sz w:val="22"/>
          <w:szCs w:val="22"/>
          <w:lang w:val="fr-FR"/>
        </w:rPr>
        <w:t xml:space="preserve"> </w:t>
      </w:r>
    </w:p>
    <w:p w:rsidR="0079493F" w:rsidRDefault="0079493F" w:rsidP="00634ABE">
      <w:pPr>
        <w:jc w:val="both"/>
        <w:rPr>
          <w:rFonts w:ascii="Arial" w:hAnsi="Arial" w:cs="Arial"/>
          <w:sz w:val="22"/>
          <w:szCs w:val="22"/>
          <w:lang w:val="fr-FR"/>
        </w:rPr>
      </w:pPr>
    </w:p>
    <w:p w:rsidR="0096142F" w:rsidRDefault="0079493F" w:rsidP="00634ABE">
      <w:pPr>
        <w:jc w:val="both"/>
        <w:rPr>
          <w:rFonts w:ascii="Arial" w:hAnsi="Arial" w:cs="Arial"/>
          <w:sz w:val="22"/>
          <w:szCs w:val="22"/>
          <w:lang w:val="fr-FR"/>
        </w:rPr>
      </w:pPr>
      <w:r w:rsidRPr="00414C80">
        <w:rPr>
          <w:rFonts w:ascii="Arial" w:hAnsi="Arial" w:cs="Arial"/>
          <w:sz w:val="22"/>
          <w:szCs w:val="22"/>
          <w:lang w:val="fr-FR"/>
        </w:rPr>
        <w:t>Les deux composantes de l’indicateur « chiffre d’affaires » pour l’ensemble de l’économie, à savoir le chiffre d’affaires national et celui à l’exportation, conservent des valeurs</w:t>
      </w:r>
      <w:r w:rsidR="00F01EB0">
        <w:rPr>
          <w:rFonts w:ascii="Arial" w:hAnsi="Arial" w:cs="Arial"/>
          <w:sz w:val="22"/>
          <w:szCs w:val="22"/>
          <w:lang w:val="fr-FR"/>
        </w:rPr>
        <w:t xml:space="preserve"> </w:t>
      </w:r>
      <w:r w:rsidRPr="00414C80">
        <w:rPr>
          <w:rFonts w:ascii="Arial" w:hAnsi="Arial" w:cs="Arial"/>
          <w:sz w:val="22"/>
          <w:szCs w:val="22"/>
          <w:lang w:val="fr-FR"/>
        </w:rPr>
        <w:t>positives acquises en 2010, qui font suite à des chutes spectaculaires</w:t>
      </w:r>
      <w:r w:rsidR="00A313F2">
        <w:rPr>
          <w:rFonts w:ascii="Arial" w:hAnsi="Arial" w:cs="Arial"/>
          <w:sz w:val="22"/>
          <w:szCs w:val="22"/>
          <w:lang w:val="fr-FR"/>
        </w:rPr>
        <w:t xml:space="preserve"> en 2008 et 2009</w:t>
      </w:r>
      <w:r w:rsidRPr="00414C80">
        <w:rPr>
          <w:rFonts w:ascii="Arial" w:hAnsi="Arial" w:cs="Arial"/>
          <w:sz w:val="22"/>
          <w:szCs w:val="22"/>
          <w:lang w:val="fr-FR"/>
        </w:rPr>
        <w:t>.</w:t>
      </w:r>
    </w:p>
    <w:p w:rsidR="0079493F" w:rsidRPr="0096142F" w:rsidRDefault="0079493F" w:rsidP="00634ABE">
      <w:pPr>
        <w:jc w:val="both"/>
        <w:rPr>
          <w:rFonts w:ascii="Arial" w:hAnsi="Arial" w:cs="Arial"/>
          <w:sz w:val="22"/>
          <w:szCs w:val="22"/>
          <w:lang w:val="fr-FR"/>
        </w:rPr>
      </w:pPr>
    </w:p>
    <w:p w:rsidR="00BC760F" w:rsidRDefault="00BC760F" w:rsidP="00634ABE">
      <w:pPr>
        <w:pStyle w:val="ListParagraph"/>
        <w:ind w:left="0"/>
        <w:jc w:val="both"/>
        <w:rPr>
          <w:rFonts w:ascii="Arial" w:hAnsi="Arial" w:cs="Arial"/>
          <w:sz w:val="22"/>
          <w:szCs w:val="22"/>
          <w:lang w:val="fr-FR"/>
        </w:rPr>
      </w:pPr>
      <w:r w:rsidRPr="0096142F">
        <w:rPr>
          <w:rFonts w:ascii="Arial" w:hAnsi="Arial" w:cs="Arial"/>
          <w:sz w:val="22"/>
          <w:szCs w:val="22"/>
          <w:lang w:val="fr-FR"/>
        </w:rPr>
        <w:t>La reprise</w:t>
      </w:r>
      <w:r w:rsidR="00627C73" w:rsidRPr="0096142F">
        <w:rPr>
          <w:rFonts w:ascii="Arial" w:hAnsi="Arial" w:cs="Arial"/>
          <w:sz w:val="22"/>
          <w:szCs w:val="22"/>
          <w:lang w:val="fr-FR"/>
        </w:rPr>
        <w:t xml:space="preserve"> </w:t>
      </w:r>
      <w:r w:rsidR="00A313F2">
        <w:rPr>
          <w:rFonts w:ascii="Arial" w:hAnsi="Arial" w:cs="Arial"/>
          <w:sz w:val="22"/>
          <w:szCs w:val="22"/>
          <w:lang w:val="fr-FR"/>
        </w:rPr>
        <w:t>mécanique</w:t>
      </w:r>
      <w:r w:rsidRPr="0096142F">
        <w:rPr>
          <w:rFonts w:ascii="Arial" w:hAnsi="Arial" w:cs="Arial"/>
          <w:sz w:val="22"/>
          <w:szCs w:val="22"/>
          <w:lang w:val="fr-FR"/>
        </w:rPr>
        <w:t xml:space="preserve"> entamée en 2010 semble </w:t>
      </w:r>
      <w:r w:rsidR="00D05342">
        <w:rPr>
          <w:rFonts w:ascii="Arial" w:hAnsi="Arial" w:cs="Arial"/>
          <w:sz w:val="22"/>
          <w:szCs w:val="22"/>
          <w:lang w:val="fr-FR"/>
        </w:rPr>
        <w:t xml:space="preserve">donc </w:t>
      </w:r>
      <w:r w:rsidRPr="0096142F">
        <w:rPr>
          <w:rFonts w:ascii="Arial" w:hAnsi="Arial" w:cs="Arial"/>
          <w:sz w:val="22"/>
          <w:szCs w:val="22"/>
          <w:lang w:val="fr-FR"/>
        </w:rPr>
        <w:t xml:space="preserve">se </w:t>
      </w:r>
      <w:r w:rsidR="00627C73" w:rsidRPr="0096142F">
        <w:rPr>
          <w:rFonts w:ascii="Arial" w:hAnsi="Arial" w:cs="Arial"/>
          <w:sz w:val="22"/>
          <w:szCs w:val="22"/>
          <w:lang w:val="fr-FR"/>
        </w:rPr>
        <w:t xml:space="preserve">répercuter </w:t>
      </w:r>
      <w:r w:rsidRPr="0096142F">
        <w:rPr>
          <w:rFonts w:ascii="Arial" w:hAnsi="Arial" w:cs="Arial"/>
          <w:sz w:val="22"/>
          <w:szCs w:val="22"/>
          <w:lang w:val="fr-FR"/>
        </w:rPr>
        <w:t xml:space="preserve">en 2011 en ce qui concerne l’évolution du chiffre d’affaires. </w:t>
      </w:r>
      <w:r w:rsidR="00A313F2">
        <w:rPr>
          <w:rFonts w:ascii="Arial" w:hAnsi="Arial" w:cs="Arial"/>
          <w:sz w:val="22"/>
          <w:szCs w:val="22"/>
          <w:lang w:val="fr-FR"/>
        </w:rPr>
        <w:t>Cependant</w:t>
      </w:r>
      <w:r w:rsidRPr="0096142F">
        <w:rPr>
          <w:rFonts w:ascii="Arial" w:hAnsi="Arial" w:cs="Arial"/>
          <w:sz w:val="22"/>
          <w:szCs w:val="22"/>
          <w:lang w:val="fr-FR"/>
        </w:rPr>
        <w:t xml:space="preserve">, même si les entreprises ont enregistré en 2011 un chiffre d’affaires en hausse par rapport </w:t>
      </w:r>
      <w:r w:rsidR="003C4910">
        <w:rPr>
          <w:rFonts w:ascii="Arial" w:hAnsi="Arial" w:cs="Arial"/>
          <w:sz w:val="22"/>
          <w:szCs w:val="22"/>
          <w:lang w:val="fr-FR"/>
        </w:rPr>
        <w:t>à</w:t>
      </w:r>
      <w:r w:rsidR="003C4910" w:rsidRPr="0096142F">
        <w:rPr>
          <w:rFonts w:ascii="Arial" w:hAnsi="Arial" w:cs="Arial"/>
          <w:sz w:val="22"/>
          <w:szCs w:val="22"/>
          <w:lang w:val="fr-FR"/>
        </w:rPr>
        <w:t xml:space="preserve"> </w:t>
      </w:r>
      <w:r w:rsidRPr="0096142F">
        <w:rPr>
          <w:rFonts w:ascii="Arial" w:hAnsi="Arial" w:cs="Arial"/>
          <w:sz w:val="22"/>
          <w:szCs w:val="22"/>
          <w:lang w:val="fr-FR"/>
        </w:rPr>
        <w:t>2010, le niveau d’avant-crise n’est pas encore atteint pour beaucoup d’entre elles et les coûts des facteurs de production ont progressé rapidement, avec des effets négatifs sur les marges des entreprises et sur la confiance de celles-ci</w:t>
      </w:r>
      <w:r w:rsidR="00A313F2">
        <w:rPr>
          <w:rFonts w:ascii="Arial" w:hAnsi="Arial" w:cs="Arial"/>
          <w:sz w:val="22"/>
          <w:szCs w:val="22"/>
          <w:lang w:val="fr-FR"/>
        </w:rPr>
        <w:t xml:space="preserve">. Ces évolutions risquent d’influencer négativement </w:t>
      </w:r>
      <w:r w:rsidRPr="0096142F">
        <w:rPr>
          <w:rFonts w:ascii="Arial" w:hAnsi="Arial" w:cs="Arial"/>
          <w:sz w:val="22"/>
          <w:szCs w:val="22"/>
          <w:lang w:val="fr-FR"/>
        </w:rPr>
        <w:t xml:space="preserve">leur propension à investir et à recruter. </w:t>
      </w:r>
    </w:p>
    <w:p w:rsidR="00A313F2" w:rsidRDefault="00A313F2" w:rsidP="00634ABE">
      <w:pPr>
        <w:pStyle w:val="ListParagraph"/>
        <w:jc w:val="both"/>
        <w:rPr>
          <w:rFonts w:ascii="Arial" w:hAnsi="Arial" w:cs="Arial"/>
          <w:sz w:val="22"/>
          <w:szCs w:val="22"/>
          <w:lang w:val="fr-FR"/>
        </w:rPr>
      </w:pPr>
    </w:p>
    <w:p w:rsidR="00BC760F" w:rsidRPr="00BC760F" w:rsidRDefault="00507FEF" w:rsidP="00634ABE">
      <w:pPr>
        <w:pStyle w:val="ListParagraph"/>
        <w:ind w:left="0"/>
        <w:jc w:val="both"/>
        <w:rPr>
          <w:rFonts w:ascii="Arial" w:hAnsi="Arial" w:cs="Arial"/>
          <w:sz w:val="22"/>
          <w:szCs w:val="22"/>
          <w:lang w:val="fr-FR"/>
        </w:rPr>
      </w:pPr>
      <w:r>
        <w:rPr>
          <w:rFonts w:ascii="Arial" w:hAnsi="Arial" w:cs="Arial"/>
          <w:sz w:val="22"/>
          <w:szCs w:val="22"/>
          <w:lang w:val="fr-FR"/>
        </w:rPr>
        <w:t>Dans l’interprétation des résultats relatifs au chiffre d’affaires, une certaine prudence s’impose du fait qu’il s’agit d’un</w:t>
      </w:r>
      <w:r w:rsidR="00320238">
        <w:rPr>
          <w:rFonts w:ascii="Arial" w:hAnsi="Arial" w:cs="Arial"/>
          <w:sz w:val="22"/>
          <w:szCs w:val="22"/>
          <w:lang w:val="fr-FR"/>
        </w:rPr>
        <w:t xml:space="preserve"> indicateur purement monétaire. </w:t>
      </w:r>
    </w:p>
    <w:p w:rsidR="00A61129" w:rsidRDefault="00A61129" w:rsidP="00634ABE">
      <w:pPr>
        <w:jc w:val="both"/>
        <w:rPr>
          <w:rFonts w:ascii="Arial" w:hAnsi="Arial" w:cs="Arial"/>
          <w:b/>
          <w:sz w:val="22"/>
          <w:szCs w:val="22"/>
          <w:lang w:val="fr-BE"/>
        </w:rPr>
      </w:pPr>
    </w:p>
    <w:p w:rsidR="004C7FA7" w:rsidRPr="003F65EC" w:rsidRDefault="005C1A88" w:rsidP="00634ABE">
      <w:pPr>
        <w:jc w:val="both"/>
        <w:rPr>
          <w:rFonts w:ascii="Arial" w:hAnsi="Arial" w:cs="Arial"/>
          <w:i/>
          <w:sz w:val="22"/>
          <w:szCs w:val="22"/>
          <w:lang w:val="fr-FR"/>
        </w:rPr>
      </w:pPr>
      <w:r w:rsidRPr="003F65EC">
        <w:rPr>
          <w:rFonts w:ascii="Arial" w:hAnsi="Arial" w:cs="Arial"/>
          <w:b/>
          <w:sz w:val="22"/>
          <w:szCs w:val="22"/>
          <w:lang w:val="fr-BE"/>
        </w:rPr>
        <w:t>3. Emploi</w:t>
      </w:r>
      <w:r w:rsidR="00A41BA2" w:rsidRPr="003F65EC">
        <w:rPr>
          <w:rFonts w:ascii="Arial" w:hAnsi="Arial" w:cs="Arial"/>
          <w:b/>
          <w:sz w:val="22"/>
          <w:szCs w:val="22"/>
          <w:lang w:val="fr-BE"/>
        </w:rPr>
        <w:t xml:space="preserve"> : </w:t>
      </w:r>
      <w:r w:rsidR="003E4762" w:rsidRPr="003F65EC">
        <w:rPr>
          <w:rFonts w:ascii="Arial" w:hAnsi="Arial" w:cs="Arial"/>
          <w:b/>
          <w:sz w:val="22"/>
          <w:szCs w:val="22"/>
          <w:lang w:val="fr-FR"/>
        </w:rPr>
        <w:t xml:space="preserve">La timide reprise de l’activité luxembourgeoise </w:t>
      </w:r>
      <w:r w:rsidR="00320238" w:rsidRPr="003F65EC">
        <w:rPr>
          <w:rFonts w:ascii="Arial" w:hAnsi="Arial" w:cs="Arial"/>
          <w:b/>
          <w:sz w:val="22"/>
          <w:szCs w:val="22"/>
          <w:lang w:val="fr-FR"/>
        </w:rPr>
        <w:t>au 1</w:t>
      </w:r>
      <w:r w:rsidR="00320238" w:rsidRPr="003F65EC">
        <w:rPr>
          <w:rFonts w:ascii="Arial" w:hAnsi="Arial" w:cs="Arial"/>
          <w:b/>
          <w:sz w:val="22"/>
          <w:szCs w:val="22"/>
          <w:vertAlign w:val="superscript"/>
          <w:lang w:val="fr-FR"/>
        </w:rPr>
        <w:t>er</w:t>
      </w:r>
      <w:r w:rsidR="00320238" w:rsidRPr="003F65EC">
        <w:rPr>
          <w:rFonts w:ascii="Arial" w:hAnsi="Arial" w:cs="Arial"/>
          <w:b/>
          <w:sz w:val="22"/>
          <w:szCs w:val="22"/>
          <w:lang w:val="fr-FR"/>
        </w:rPr>
        <w:t xml:space="preserve"> semestre</w:t>
      </w:r>
      <w:r w:rsidR="003E4762" w:rsidRPr="003F65EC">
        <w:rPr>
          <w:rFonts w:ascii="Arial" w:hAnsi="Arial" w:cs="Arial"/>
          <w:b/>
          <w:sz w:val="22"/>
          <w:szCs w:val="22"/>
          <w:lang w:val="fr-FR"/>
        </w:rPr>
        <w:t xml:space="preserve"> 2011 </w:t>
      </w:r>
      <w:r w:rsidR="00320238" w:rsidRPr="003F65EC">
        <w:rPr>
          <w:rFonts w:ascii="Arial" w:hAnsi="Arial" w:cs="Arial"/>
          <w:b/>
          <w:sz w:val="22"/>
          <w:szCs w:val="22"/>
          <w:lang w:val="fr-FR"/>
        </w:rPr>
        <w:t>a</w:t>
      </w:r>
      <w:r w:rsidR="003E4762" w:rsidRPr="003F65EC">
        <w:rPr>
          <w:rFonts w:ascii="Arial" w:hAnsi="Arial" w:cs="Arial"/>
          <w:b/>
          <w:sz w:val="22"/>
          <w:szCs w:val="22"/>
          <w:lang w:val="fr-FR"/>
        </w:rPr>
        <w:t xml:space="preserve"> permis à l’emploi </w:t>
      </w:r>
      <w:r w:rsidR="00320238" w:rsidRPr="003F65EC">
        <w:rPr>
          <w:rFonts w:ascii="Arial" w:hAnsi="Arial" w:cs="Arial"/>
          <w:b/>
          <w:sz w:val="22"/>
          <w:szCs w:val="22"/>
          <w:lang w:val="fr-FR"/>
        </w:rPr>
        <w:t xml:space="preserve">de progresser </w:t>
      </w:r>
    </w:p>
    <w:p w:rsidR="004C7FA7" w:rsidRDefault="004C7FA7" w:rsidP="00634ABE">
      <w:pPr>
        <w:pStyle w:val="ListParagraph"/>
        <w:ind w:left="0"/>
        <w:jc w:val="both"/>
        <w:rPr>
          <w:rFonts w:ascii="Arial" w:hAnsi="Arial" w:cs="Arial"/>
          <w:sz w:val="22"/>
          <w:szCs w:val="22"/>
          <w:lang w:val="fr-FR"/>
        </w:rPr>
      </w:pPr>
    </w:p>
    <w:p w:rsidR="00B96650" w:rsidRDefault="003E4762" w:rsidP="00634ABE">
      <w:pPr>
        <w:pStyle w:val="ListParagraph"/>
        <w:ind w:left="0"/>
        <w:jc w:val="both"/>
        <w:rPr>
          <w:rFonts w:ascii="Arial" w:hAnsi="Arial" w:cs="Arial"/>
          <w:sz w:val="22"/>
          <w:szCs w:val="22"/>
          <w:lang w:val="fr-FR"/>
        </w:rPr>
      </w:pPr>
      <w:r>
        <w:rPr>
          <w:rFonts w:ascii="Arial" w:hAnsi="Arial" w:cs="Arial"/>
          <w:sz w:val="22"/>
          <w:szCs w:val="22"/>
          <w:lang w:val="fr-FR"/>
        </w:rPr>
        <w:t xml:space="preserve">Après </w:t>
      </w:r>
      <w:r w:rsidR="00B96650" w:rsidRPr="004C7FA7">
        <w:rPr>
          <w:rFonts w:ascii="Arial" w:hAnsi="Arial" w:cs="Arial"/>
          <w:sz w:val="22"/>
          <w:szCs w:val="22"/>
          <w:lang w:val="fr-FR"/>
        </w:rPr>
        <w:t xml:space="preserve">une chute entre 2008 et 2009 </w:t>
      </w:r>
      <w:r w:rsidR="00787538">
        <w:rPr>
          <w:rFonts w:ascii="Arial" w:hAnsi="Arial" w:cs="Arial"/>
          <w:sz w:val="22"/>
          <w:szCs w:val="22"/>
          <w:lang w:val="fr-FR"/>
        </w:rPr>
        <w:t>jamais</w:t>
      </w:r>
      <w:r w:rsidR="003C4910" w:rsidRPr="004C7FA7">
        <w:rPr>
          <w:rFonts w:ascii="Arial" w:hAnsi="Arial" w:cs="Arial"/>
          <w:sz w:val="22"/>
          <w:szCs w:val="22"/>
          <w:lang w:val="fr-FR"/>
        </w:rPr>
        <w:t xml:space="preserve"> </w:t>
      </w:r>
      <w:r w:rsidR="003C4910">
        <w:rPr>
          <w:rFonts w:ascii="Arial" w:hAnsi="Arial" w:cs="Arial"/>
          <w:sz w:val="22"/>
          <w:szCs w:val="22"/>
          <w:lang w:val="fr-FR"/>
        </w:rPr>
        <w:t>v</w:t>
      </w:r>
      <w:r w:rsidR="003C4910" w:rsidRPr="004C7FA7">
        <w:rPr>
          <w:rFonts w:ascii="Arial" w:hAnsi="Arial" w:cs="Arial"/>
          <w:sz w:val="22"/>
          <w:szCs w:val="22"/>
          <w:lang w:val="fr-FR"/>
        </w:rPr>
        <w:t xml:space="preserve">ue </w:t>
      </w:r>
      <w:r w:rsidR="00B96650" w:rsidRPr="004C7FA7">
        <w:rPr>
          <w:rFonts w:ascii="Arial" w:hAnsi="Arial" w:cs="Arial"/>
          <w:sz w:val="22"/>
          <w:szCs w:val="22"/>
          <w:lang w:val="fr-FR"/>
        </w:rPr>
        <w:t>depuis l’instauration de l’enquête Eurochambres</w:t>
      </w:r>
      <w:r w:rsidR="003F65EC" w:rsidRPr="003F65EC">
        <w:rPr>
          <w:rFonts w:ascii="Arial" w:hAnsi="Arial" w:cs="Arial"/>
          <w:b/>
          <w:color w:val="FF0000"/>
          <w:sz w:val="22"/>
          <w:szCs w:val="22"/>
          <w:lang w:val="fr-FR"/>
        </w:rPr>
        <w:t xml:space="preserve"> </w:t>
      </w:r>
      <w:r w:rsidR="003F65EC" w:rsidRPr="003F65EC">
        <w:rPr>
          <w:rFonts w:ascii="Arial" w:hAnsi="Arial" w:cs="Arial"/>
          <w:sz w:val="22"/>
          <w:szCs w:val="22"/>
          <w:lang w:val="fr-FR"/>
        </w:rPr>
        <w:t>et une amélioration de l’évolution entre 2009 et 2010</w:t>
      </w:r>
      <w:r w:rsidR="00B96650" w:rsidRPr="003F65EC">
        <w:rPr>
          <w:rFonts w:ascii="Arial" w:hAnsi="Arial" w:cs="Arial"/>
          <w:sz w:val="22"/>
          <w:szCs w:val="22"/>
          <w:lang w:val="fr-FR"/>
        </w:rPr>
        <w:t>,</w:t>
      </w:r>
      <w:r w:rsidR="00B96650" w:rsidRPr="004C7FA7">
        <w:rPr>
          <w:rFonts w:ascii="Arial" w:hAnsi="Arial" w:cs="Arial"/>
          <w:sz w:val="22"/>
          <w:szCs w:val="22"/>
          <w:lang w:val="fr-FR"/>
        </w:rPr>
        <w:t xml:space="preserve"> l’indicateur relatif à l’évolution des effectifs </w:t>
      </w:r>
      <w:r w:rsidR="004D1A44">
        <w:rPr>
          <w:rFonts w:ascii="Arial" w:hAnsi="Arial" w:cs="Arial"/>
          <w:sz w:val="22"/>
          <w:szCs w:val="22"/>
          <w:lang w:val="fr-FR"/>
        </w:rPr>
        <w:t xml:space="preserve">en </w:t>
      </w:r>
      <w:r w:rsidR="00B96650" w:rsidRPr="004C7FA7">
        <w:rPr>
          <w:rFonts w:ascii="Arial" w:hAnsi="Arial" w:cs="Arial"/>
          <w:sz w:val="22"/>
          <w:szCs w:val="22"/>
          <w:lang w:val="fr-FR"/>
        </w:rPr>
        <w:t>2011 au sein de l’ensemble des entreprises interrogé</w:t>
      </w:r>
      <w:r w:rsidR="00DF077D">
        <w:rPr>
          <w:rFonts w:ascii="Arial" w:hAnsi="Arial" w:cs="Arial"/>
          <w:sz w:val="22"/>
          <w:szCs w:val="22"/>
          <w:lang w:val="fr-FR"/>
        </w:rPr>
        <w:t>es se maintient dans le positif, avec une balance nette de 16,8 points</w:t>
      </w:r>
      <w:r w:rsidR="00B96650" w:rsidRPr="004C7FA7">
        <w:rPr>
          <w:rFonts w:ascii="Arial" w:hAnsi="Arial" w:cs="Arial"/>
          <w:sz w:val="22"/>
          <w:szCs w:val="22"/>
          <w:lang w:val="fr-FR"/>
        </w:rPr>
        <w:t xml:space="preserve">. </w:t>
      </w:r>
    </w:p>
    <w:p w:rsidR="00DF077D" w:rsidRDefault="00DF077D" w:rsidP="00634ABE">
      <w:pPr>
        <w:pStyle w:val="ListParagraph"/>
        <w:ind w:left="0"/>
        <w:jc w:val="both"/>
        <w:rPr>
          <w:rFonts w:ascii="Arial" w:hAnsi="Arial" w:cs="Arial"/>
          <w:sz w:val="22"/>
          <w:szCs w:val="22"/>
          <w:lang w:val="fr-FR"/>
        </w:rPr>
      </w:pPr>
    </w:p>
    <w:p w:rsidR="004C7FA7" w:rsidRDefault="000E5159" w:rsidP="00634ABE">
      <w:pPr>
        <w:jc w:val="both"/>
        <w:rPr>
          <w:rFonts w:ascii="Arial" w:hAnsi="Arial" w:cs="Arial"/>
          <w:sz w:val="22"/>
          <w:szCs w:val="22"/>
          <w:lang w:val="fr-FR"/>
        </w:rPr>
      </w:pPr>
      <w:r w:rsidRPr="000E5159">
        <w:rPr>
          <w:rFonts w:ascii="Arial" w:hAnsi="Arial" w:cs="Arial"/>
          <w:sz w:val="22"/>
          <w:szCs w:val="22"/>
          <w:lang w:val="fr-FR"/>
        </w:rPr>
        <w:t>Des différences sectorielles persistent : bien que le secteur manufacturier retrouve une balance positive</w:t>
      </w:r>
      <w:r w:rsidR="00D55805">
        <w:rPr>
          <w:rFonts w:ascii="Arial" w:hAnsi="Arial" w:cs="Arial"/>
          <w:sz w:val="22"/>
          <w:szCs w:val="22"/>
          <w:lang w:val="fr-FR"/>
        </w:rPr>
        <w:t xml:space="preserve"> (10,8 points)</w:t>
      </w:r>
      <w:r w:rsidRPr="000E5159">
        <w:rPr>
          <w:rFonts w:ascii="Arial" w:hAnsi="Arial" w:cs="Arial"/>
          <w:sz w:val="22"/>
          <w:szCs w:val="22"/>
          <w:lang w:val="fr-FR"/>
        </w:rPr>
        <w:t>, celle-ci reste i</w:t>
      </w:r>
      <w:r w:rsidR="004D1A44">
        <w:rPr>
          <w:rFonts w:ascii="Arial" w:hAnsi="Arial" w:cs="Arial"/>
          <w:sz w:val="22"/>
          <w:szCs w:val="22"/>
          <w:lang w:val="fr-FR"/>
        </w:rPr>
        <w:t>nférieure à celle des services</w:t>
      </w:r>
      <w:r w:rsidR="00D55805">
        <w:rPr>
          <w:rFonts w:ascii="Arial" w:hAnsi="Arial" w:cs="Arial"/>
          <w:sz w:val="22"/>
          <w:szCs w:val="22"/>
          <w:lang w:val="fr-FR"/>
        </w:rPr>
        <w:t xml:space="preserve"> (19,7 points)</w:t>
      </w:r>
      <w:r w:rsidR="004D1A44">
        <w:rPr>
          <w:rFonts w:ascii="Arial" w:hAnsi="Arial" w:cs="Arial"/>
          <w:sz w:val="22"/>
          <w:szCs w:val="22"/>
          <w:lang w:val="fr-FR"/>
        </w:rPr>
        <w:t xml:space="preserve">. </w:t>
      </w:r>
      <w:r w:rsidRPr="000E5159">
        <w:rPr>
          <w:rFonts w:ascii="Arial" w:hAnsi="Arial" w:cs="Arial"/>
          <w:sz w:val="22"/>
          <w:szCs w:val="22"/>
          <w:lang w:val="fr-FR"/>
        </w:rPr>
        <w:t xml:space="preserve">54,4% des entreprises des branches industrielles et 53,3% des entreprises de services déclarent que leur effectif est resté stable entre 2010 et 2011. </w:t>
      </w:r>
    </w:p>
    <w:p w:rsidR="004C7FA7" w:rsidRDefault="004C7FA7" w:rsidP="00634ABE">
      <w:pPr>
        <w:jc w:val="both"/>
        <w:rPr>
          <w:rFonts w:ascii="Arial" w:hAnsi="Arial" w:cs="Arial"/>
          <w:sz w:val="22"/>
          <w:szCs w:val="22"/>
          <w:lang w:val="fr-FR"/>
        </w:rPr>
      </w:pPr>
    </w:p>
    <w:p w:rsidR="00B96650" w:rsidRPr="004D1A44" w:rsidRDefault="000E5159" w:rsidP="00634ABE">
      <w:pPr>
        <w:jc w:val="both"/>
        <w:rPr>
          <w:rFonts w:ascii="Arial" w:hAnsi="Arial" w:cs="Arial"/>
          <w:sz w:val="22"/>
          <w:szCs w:val="22"/>
          <w:lang w:val="fr-FR"/>
        </w:rPr>
      </w:pPr>
      <w:r w:rsidRPr="004D1A44">
        <w:rPr>
          <w:rFonts w:ascii="Arial" w:hAnsi="Arial" w:cs="Arial"/>
          <w:sz w:val="22"/>
          <w:szCs w:val="22"/>
          <w:lang w:val="fr-FR"/>
        </w:rPr>
        <w:lastRenderedPageBreak/>
        <w:t>Cette évolution confirme que la dégrad</w:t>
      </w:r>
      <w:r w:rsidR="004D1A44" w:rsidRPr="004D1A44">
        <w:rPr>
          <w:rFonts w:ascii="Arial" w:hAnsi="Arial" w:cs="Arial"/>
          <w:sz w:val="22"/>
          <w:szCs w:val="22"/>
          <w:lang w:val="fr-FR"/>
        </w:rPr>
        <w:t>ation continue de la compétitivité</w:t>
      </w:r>
      <w:r w:rsidRPr="004D1A44">
        <w:rPr>
          <w:rFonts w:ascii="Arial" w:hAnsi="Arial" w:cs="Arial"/>
          <w:sz w:val="22"/>
          <w:szCs w:val="22"/>
          <w:lang w:val="fr-FR"/>
        </w:rPr>
        <w:t>-coûts et -prix de l’économie luxembourgeoise, en général, et dans le secteur industriel en particulier, amène les chefs d’entreprises à freiner</w:t>
      </w:r>
      <w:r w:rsidR="00627C73" w:rsidRPr="004D1A44">
        <w:rPr>
          <w:rFonts w:ascii="Arial" w:hAnsi="Arial" w:cs="Arial"/>
          <w:sz w:val="22"/>
          <w:szCs w:val="22"/>
          <w:lang w:val="fr-FR"/>
        </w:rPr>
        <w:t>, ou au mieux à stabiliser,</w:t>
      </w:r>
      <w:r w:rsidRPr="004D1A44">
        <w:rPr>
          <w:rFonts w:ascii="Arial" w:hAnsi="Arial" w:cs="Arial"/>
          <w:sz w:val="22"/>
          <w:szCs w:val="22"/>
          <w:lang w:val="fr-FR"/>
        </w:rPr>
        <w:t xml:space="preserve"> les embauches sous toile de fond d’un niveau d’activité </w:t>
      </w:r>
      <w:r w:rsidR="004D1A44">
        <w:rPr>
          <w:rFonts w:ascii="Arial" w:hAnsi="Arial" w:cs="Arial"/>
          <w:sz w:val="22"/>
          <w:szCs w:val="22"/>
          <w:lang w:val="fr-FR"/>
        </w:rPr>
        <w:t>de plus en plus incertain en 2011</w:t>
      </w:r>
      <w:r w:rsidRPr="004D1A44">
        <w:rPr>
          <w:rFonts w:ascii="Arial" w:hAnsi="Arial" w:cs="Arial"/>
          <w:sz w:val="22"/>
          <w:szCs w:val="22"/>
          <w:lang w:val="fr-FR"/>
        </w:rPr>
        <w:t>.</w:t>
      </w:r>
    </w:p>
    <w:p w:rsidR="00227146" w:rsidRDefault="00CF1B26" w:rsidP="00634ABE">
      <w:pPr>
        <w:jc w:val="both"/>
        <w:rPr>
          <w:rFonts w:ascii="Arial" w:hAnsi="Arial" w:cs="Arial"/>
          <w:b/>
          <w:sz w:val="22"/>
          <w:szCs w:val="22"/>
          <w:lang w:val="fr-BE"/>
        </w:rPr>
      </w:pPr>
      <w:r>
        <w:rPr>
          <w:rFonts w:ascii="Arial" w:hAnsi="Arial" w:cs="Arial"/>
          <w:b/>
          <w:sz w:val="22"/>
          <w:szCs w:val="22"/>
          <w:lang w:val="fr-BE"/>
        </w:rPr>
        <w:tab/>
      </w:r>
    </w:p>
    <w:p w:rsidR="005F400B" w:rsidRPr="00335240" w:rsidRDefault="00CF1B26" w:rsidP="00634ABE">
      <w:pPr>
        <w:jc w:val="both"/>
        <w:rPr>
          <w:b/>
          <w:lang w:val="fr-LU"/>
        </w:rPr>
      </w:pPr>
      <w:r w:rsidRPr="00335240">
        <w:rPr>
          <w:rFonts w:ascii="Arial" w:hAnsi="Arial" w:cs="Arial"/>
          <w:b/>
          <w:sz w:val="22"/>
          <w:szCs w:val="22"/>
          <w:lang w:val="fr-BE"/>
        </w:rPr>
        <w:t>4. Investissements</w:t>
      </w:r>
      <w:r w:rsidR="001F3470" w:rsidRPr="00335240">
        <w:rPr>
          <w:rFonts w:ascii="Arial" w:hAnsi="Arial" w:cs="Arial"/>
          <w:b/>
          <w:sz w:val="22"/>
          <w:szCs w:val="22"/>
          <w:lang w:val="fr-BE"/>
        </w:rPr>
        <w:t xml:space="preserve"> : </w:t>
      </w:r>
      <w:r w:rsidR="005F400B" w:rsidRPr="00335240">
        <w:rPr>
          <w:rFonts w:ascii="Arial" w:hAnsi="Arial" w:cs="Arial"/>
          <w:b/>
          <w:sz w:val="22"/>
          <w:szCs w:val="22"/>
          <w:lang w:val="fr-BE"/>
        </w:rPr>
        <w:t>Une certaine stabilité est de mise pour cet indicateur puisque 58,4% des entreprises affirment que leur niveau d’investissements demeure constant en 2011 par rapport à 2010</w:t>
      </w:r>
    </w:p>
    <w:p w:rsidR="005F400B" w:rsidRDefault="005F400B" w:rsidP="00634ABE">
      <w:pPr>
        <w:jc w:val="both"/>
        <w:rPr>
          <w:rFonts w:ascii="Arial" w:hAnsi="Arial" w:cs="Arial"/>
          <w:sz w:val="22"/>
          <w:szCs w:val="22"/>
          <w:lang w:val="fr-BE"/>
        </w:rPr>
      </w:pPr>
    </w:p>
    <w:p w:rsidR="00EA58FB" w:rsidRPr="00EA58FB" w:rsidRDefault="00A61129" w:rsidP="00634ABE">
      <w:pPr>
        <w:jc w:val="both"/>
        <w:rPr>
          <w:rFonts w:ascii="Arial" w:hAnsi="Arial" w:cs="Arial"/>
          <w:kern w:val="1"/>
          <w:sz w:val="22"/>
          <w:lang w:val="fr-FR" w:eastAsia="ar-SA"/>
        </w:rPr>
      </w:pPr>
      <w:r>
        <w:rPr>
          <w:rFonts w:ascii="Arial" w:hAnsi="Arial" w:cs="Arial"/>
          <w:kern w:val="1"/>
          <w:sz w:val="22"/>
          <w:lang w:val="fr-FR" w:eastAsia="ar-SA"/>
        </w:rPr>
        <w:t>L’indicateur relatif aux investissements réalisés en 2011 est tiré vers le haut grâce aux rés</w:t>
      </w:r>
      <w:r w:rsidRPr="00EA58FB">
        <w:rPr>
          <w:rFonts w:ascii="Arial" w:hAnsi="Arial" w:cs="Arial"/>
          <w:kern w:val="1"/>
          <w:sz w:val="22"/>
          <w:lang w:val="fr-FR" w:eastAsia="ar-SA"/>
        </w:rPr>
        <w:t>ultats</w:t>
      </w:r>
      <w:r w:rsidR="00EA58FB" w:rsidRPr="00EA58FB">
        <w:rPr>
          <w:rFonts w:ascii="Arial" w:hAnsi="Arial" w:cs="Arial"/>
          <w:kern w:val="1"/>
          <w:sz w:val="22"/>
          <w:lang w:val="fr-FR" w:eastAsia="ar-SA"/>
        </w:rPr>
        <w:t xml:space="preserve"> </w:t>
      </w:r>
      <w:r>
        <w:rPr>
          <w:rFonts w:ascii="Arial" w:hAnsi="Arial" w:cs="Arial"/>
          <w:kern w:val="1"/>
          <w:sz w:val="22"/>
          <w:lang w:val="fr-FR" w:eastAsia="ar-SA"/>
        </w:rPr>
        <w:t>favorables enregistrés dans le secteur des services</w:t>
      </w:r>
      <w:r w:rsidR="003F7E42">
        <w:rPr>
          <w:rFonts w:ascii="Arial" w:hAnsi="Arial" w:cs="Arial"/>
          <w:kern w:val="1"/>
          <w:sz w:val="22"/>
          <w:lang w:val="fr-FR" w:eastAsia="ar-SA"/>
        </w:rPr>
        <w:t xml:space="preserve"> (balance de 15 points)</w:t>
      </w:r>
      <w:r>
        <w:rPr>
          <w:rFonts w:ascii="Arial" w:hAnsi="Arial" w:cs="Arial"/>
          <w:kern w:val="1"/>
          <w:sz w:val="22"/>
          <w:lang w:val="fr-FR" w:eastAsia="ar-SA"/>
        </w:rPr>
        <w:t xml:space="preserve">. Dans le </w:t>
      </w:r>
      <w:r w:rsidR="00EA58FB" w:rsidRPr="00EA58FB">
        <w:rPr>
          <w:rFonts w:ascii="Arial" w:hAnsi="Arial" w:cs="Arial"/>
          <w:kern w:val="1"/>
          <w:sz w:val="22"/>
          <w:lang w:val="fr-FR" w:eastAsia="ar-SA"/>
        </w:rPr>
        <w:t xml:space="preserve">secteur </w:t>
      </w:r>
      <w:r>
        <w:rPr>
          <w:rFonts w:ascii="Arial" w:hAnsi="Arial" w:cs="Arial"/>
          <w:kern w:val="1"/>
          <w:sz w:val="22"/>
          <w:lang w:val="fr-FR" w:eastAsia="ar-SA"/>
        </w:rPr>
        <w:t xml:space="preserve">industriel et manufacturier, il semble que les chefs d’entreprises </w:t>
      </w:r>
      <w:r w:rsidR="00384622">
        <w:rPr>
          <w:rFonts w:ascii="Arial" w:hAnsi="Arial" w:cs="Arial"/>
          <w:kern w:val="1"/>
          <w:sz w:val="22"/>
          <w:lang w:val="fr-FR" w:eastAsia="ar-SA"/>
        </w:rPr>
        <w:t>soient</w:t>
      </w:r>
      <w:r>
        <w:rPr>
          <w:rFonts w:ascii="Arial" w:hAnsi="Arial" w:cs="Arial"/>
          <w:kern w:val="1"/>
          <w:sz w:val="22"/>
          <w:lang w:val="fr-FR" w:eastAsia="ar-SA"/>
        </w:rPr>
        <w:t xml:space="preserve"> plus réservés quand aux investissements réalisés en 2011</w:t>
      </w:r>
      <w:r w:rsidR="003F7E42">
        <w:rPr>
          <w:rFonts w:ascii="Arial" w:hAnsi="Arial" w:cs="Arial"/>
          <w:kern w:val="1"/>
          <w:sz w:val="22"/>
          <w:lang w:val="fr-FR" w:eastAsia="ar-SA"/>
        </w:rPr>
        <w:t>, avec une balance nette de 5,8 points</w:t>
      </w:r>
      <w:r>
        <w:rPr>
          <w:rFonts w:ascii="Arial" w:hAnsi="Arial" w:cs="Arial"/>
          <w:kern w:val="1"/>
          <w:sz w:val="22"/>
          <w:lang w:val="fr-FR" w:eastAsia="ar-SA"/>
        </w:rPr>
        <w:t xml:space="preserve">. </w:t>
      </w:r>
    </w:p>
    <w:p w:rsidR="00CF1B26" w:rsidRPr="00521B70" w:rsidRDefault="00CF1B26" w:rsidP="00634ABE">
      <w:pPr>
        <w:jc w:val="both"/>
        <w:rPr>
          <w:rFonts w:ascii="Arial" w:hAnsi="Arial" w:cs="Arial"/>
          <w:sz w:val="22"/>
          <w:szCs w:val="22"/>
          <w:lang w:val="fr-FR"/>
        </w:rPr>
      </w:pPr>
    </w:p>
    <w:p w:rsidR="00A309BC" w:rsidRPr="00A61129" w:rsidRDefault="005F400B" w:rsidP="00634ABE">
      <w:pPr>
        <w:jc w:val="both"/>
        <w:rPr>
          <w:rFonts w:ascii="Arial" w:hAnsi="Arial" w:cs="Arial"/>
          <w:sz w:val="22"/>
          <w:szCs w:val="22"/>
          <w:lang w:val="fr-BE"/>
        </w:rPr>
      </w:pPr>
      <w:r w:rsidRPr="00A61129">
        <w:rPr>
          <w:rFonts w:ascii="Arial" w:hAnsi="Arial" w:cs="Arial"/>
          <w:sz w:val="22"/>
          <w:szCs w:val="22"/>
          <w:lang w:val="fr-BE"/>
        </w:rPr>
        <w:t>Les investissements privés d’une période donnée ayant un effet d’entraînement sur le</w:t>
      </w:r>
      <w:r w:rsidR="00C26810">
        <w:rPr>
          <w:rFonts w:ascii="Arial" w:hAnsi="Arial" w:cs="Arial"/>
          <w:sz w:val="22"/>
          <w:szCs w:val="22"/>
          <w:lang w:val="fr-BE"/>
        </w:rPr>
        <w:t xml:space="preserve"> </w:t>
      </w:r>
      <w:r w:rsidRPr="00A61129">
        <w:rPr>
          <w:rFonts w:ascii="Arial" w:hAnsi="Arial" w:cs="Arial"/>
          <w:sz w:val="22"/>
          <w:szCs w:val="22"/>
          <w:lang w:val="fr-BE"/>
        </w:rPr>
        <w:t xml:space="preserve">niveau d’activité de la période suivante, conditionnant ainsi le niveau </w:t>
      </w:r>
      <w:r w:rsidR="00384622">
        <w:rPr>
          <w:rFonts w:ascii="Arial" w:hAnsi="Arial" w:cs="Arial"/>
          <w:sz w:val="22"/>
          <w:szCs w:val="22"/>
          <w:lang w:val="fr-BE"/>
        </w:rPr>
        <w:t xml:space="preserve">d’activité et </w:t>
      </w:r>
      <w:r w:rsidRPr="00A61129">
        <w:rPr>
          <w:rFonts w:ascii="Arial" w:hAnsi="Arial" w:cs="Arial"/>
          <w:sz w:val="22"/>
          <w:szCs w:val="22"/>
          <w:lang w:val="fr-BE"/>
        </w:rPr>
        <w:t xml:space="preserve">d’emploi de l’avenir, la réserve affichée en termes d’investissements </w:t>
      </w:r>
      <w:r w:rsidR="00A61129" w:rsidRPr="00A61129">
        <w:rPr>
          <w:rFonts w:ascii="Arial" w:hAnsi="Arial" w:cs="Arial"/>
          <w:sz w:val="22"/>
          <w:szCs w:val="22"/>
          <w:lang w:val="fr-BE"/>
        </w:rPr>
        <w:t xml:space="preserve">dans le secteur industriel et manufacturier </w:t>
      </w:r>
      <w:r w:rsidRPr="00A61129">
        <w:rPr>
          <w:rFonts w:ascii="Arial" w:hAnsi="Arial" w:cs="Arial"/>
          <w:sz w:val="22"/>
          <w:szCs w:val="22"/>
          <w:lang w:val="fr-BE"/>
        </w:rPr>
        <w:t>s’avère inquiétante.</w:t>
      </w:r>
    </w:p>
    <w:p w:rsidR="005F400B" w:rsidRDefault="005F400B" w:rsidP="00634ABE">
      <w:pPr>
        <w:jc w:val="both"/>
        <w:rPr>
          <w:rFonts w:ascii="Arial" w:hAnsi="Arial" w:cs="Arial"/>
          <w:sz w:val="22"/>
          <w:szCs w:val="22"/>
          <w:lang w:val="fr-BE"/>
        </w:rPr>
      </w:pPr>
    </w:p>
    <w:p w:rsidR="002A1C59" w:rsidRDefault="002A1C59" w:rsidP="00634ABE">
      <w:pPr>
        <w:jc w:val="both"/>
        <w:rPr>
          <w:rFonts w:ascii="Arial" w:hAnsi="Arial" w:cs="Arial"/>
          <w:sz w:val="22"/>
          <w:szCs w:val="22"/>
          <w:lang w:val="fr-BE"/>
        </w:rPr>
      </w:pPr>
    </w:p>
    <w:p w:rsidR="005C1A88" w:rsidRDefault="004545E5" w:rsidP="00634ABE">
      <w:pPr>
        <w:jc w:val="both"/>
        <w:rPr>
          <w:rFonts w:ascii="Arial" w:hAnsi="Arial" w:cs="Arial"/>
          <w:b/>
          <w:sz w:val="22"/>
          <w:szCs w:val="22"/>
          <w:u w:val="single"/>
          <w:lang w:val="fr-BE"/>
        </w:rPr>
      </w:pPr>
      <w:r w:rsidRPr="004545E5">
        <w:rPr>
          <w:rFonts w:ascii="Arial" w:hAnsi="Arial" w:cs="Arial"/>
          <w:b/>
          <w:sz w:val="22"/>
          <w:szCs w:val="22"/>
          <w:u w:val="single"/>
          <w:lang w:val="fr-BE"/>
        </w:rPr>
        <w:t xml:space="preserve">Perspectives </w:t>
      </w:r>
      <w:r>
        <w:rPr>
          <w:rFonts w:ascii="Arial" w:hAnsi="Arial" w:cs="Arial"/>
          <w:b/>
          <w:sz w:val="22"/>
          <w:szCs w:val="22"/>
          <w:u w:val="single"/>
          <w:lang w:val="fr-BE"/>
        </w:rPr>
        <w:t xml:space="preserve">pour 2012 </w:t>
      </w:r>
      <w:r w:rsidRPr="004545E5">
        <w:rPr>
          <w:rFonts w:ascii="Arial" w:hAnsi="Arial" w:cs="Arial"/>
          <w:b/>
          <w:sz w:val="22"/>
          <w:szCs w:val="22"/>
          <w:u w:val="single"/>
          <w:lang w:val="fr-BE"/>
        </w:rPr>
        <w:t>des principaux indicateurs économiques</w:t>
      </w:r>
      <w:r w:rsidR="00227146">
        <w:rPr>
          <w:rFonts w:ascii="Arial" w:hAnsi="Arial" w:cs="Arial"/>
          <w:b/>
          <w:sz w:val="22"/>
          <w:szCs w:val="22"/>
          <w:u w:val="single"/>
          <w:lang w:val="fr-BE"/>
        </w:rPr>
        <w:t xml:space="preserve"> : </w:t>
      </w:r>
      <w:r w:rsidR="003D183E">
        <w:rPr>
          <w:rFonts w:ascii="Arial" w:hAnsi="Arial" w:cs="Arial"/>
          <w:b/>
          <w:sz w:val="22"/>
          <w:szCs w:val="22"/>
          <w:u w:val="single"/>
          <w:lang w:val="fr-BE"/>
        </w:rPr>
        <w:t>l’économie à la croisée des chemins</w:t>
      </w:r>
      <w:r w:rsidRPr="004545E5">
        <w:rPr>
          <w:rFonts w:ascii="Arial" w:hAnsi="Arial" w:cs="Arial"/>
          <w:b/>
          <w:sz w:val="22"/>
          <w:szCs w:val="22"/>
          <w:u w:val="single"/>
          <w:lang w:val="fr-BE"/>
        </w:rPr>
        <w:t xml:space="preserve"> </w:t>
      </w:r>
    </w:p>
    <w:p w:rsidR="00A309BC" w:rsidRDefault="00A309BC" w:rsidP="00634ABE">
      <w:pPr>
        <w:jc w:val="both"/>
        <w:rPr>
          <w:rFonts w:ascii="Arial" w:hAnsi="Arial" w:cs="Arial"/>
          <w:b/>
          <w:sz w:val="22"/>
          <w:szCs w:val="22"/>
          <w:u w:val="single"/>
          <w:lang w:val="fr-BE"/>
        </w:rPr>
      </w:pPr>
    </w:p>
    <w:p w:rsidR="003A0681" w:rsidRDefault="003A0681" w:rsidP="00634ABE">
      <w:pPr>
        <w:jc w:val="both"/>
        <w:rPr>
          <w:rFonts w:ascii="Arial" w:hAnsi="Arial" w:cs="Arial"/>
          <w:b/>
          <w:sz w:val="22"/>
          <w:szCs w:val="22"/>
          <w:u w:val="single"/>
          <w:lang w:val="fr-BE"/>
        </w:rPr>
      </w:pPr>
    </w:p>
    <w:p w:rsidR="00345FCA" w:rsidRPr="00A61129" w:rsidRDefault="00CF1B26" w:rsidP="00634ABE">
      <w:pPr>
        <w:jc w:val="both"/>
        <w:rPr>
          <w:rFonts w:ascii="Arial" w:hAnsi="Arial" w:cs="Arial"/>
          <w:b/>
          <w:sz w:val="22"/>
          <w:szCs w:val="22"/>
          <w:lang w:val="fr-FR"/>
        </w:rPr>
      </w:pPr>
      <w:r>
        <w:rPr>
          <w:rFonts w:ascii="Arial" w:hAnsi="Arial" w:cs="Arial"/>
          <w:b/>
          <w:sz w:val="22"/>
          <w:szCs w:val="22"/>
          <w:lang w:val="fr-FR"/>
        </w:rPr>
        <w:t>1. C</w:t>
      </w:r>
      <w:r w:rsidRPr="005C1A88">
        <w:rPr>
          <w:rFonts w:ascii="Arial" w:hAnsi="Arial" w:cs="Arial"/>
          <w:b/>
          <w:sz w:val="22"/>
          <w:szCs w:val="22"/>
          <w:lang w:val="fr-FR"/>
        </w:rPr>
        <w:t>limat des affaires</w:t>
      </w:r>
      <w:r w:rsidR="00C20AED">
        <w:rPr>
          <w:rFonts w:ascii="Arial" w:hAnsi="Arial" w:cs="Arial"/>
          <w:b/>
          <w:sz w:val="22"/>
          <w:szCs w:val="22"/>
          <w:lang w:val="fr-FR"/>
        </w:rPr>
        <w:t xml:space="preserve"> : </w:t>
      </w:r>
      <w:r w:rsidR="00A61129">
        <w:rPr>
          <w:rFonts w:ascii="Arial" w:hAnsi="Arial" w:cs="Arial"/>
          <w:b/>
          <w:kern w:val="1"/>
          <w:sz w:val="22"/>
          <w:lang w:val="fr-FR" w:eastAsia="ar-SA"/>
        </w:rPr>
        <w:t>Les</w:t>
      </w:r>
      <w:r w:rsidR="00345FCA" w:rsidRPr="00A61129">
        <w:rPr>
          <w:rFonts w:ascii="Arial" w:hAnsi="Arial" w:cs="Arial"/>
          <w:b/>
          <w:kern w:val="1"/>
          <w:sz w:val="22"/>
          <w:lang w:val="fr-FR" w:eastAsia="ar-SA"/>
        </w:rPr>
        <w:t xml:space="preserve"> appréciation</w:t>
      </w:r>
      <w:r w:rsidR="00A61129">
        <w:rPr>
          <w:rFonts w:ascii="Arial" w:hAnsi="Arial" w:cs="Arial"/>
          <w:b/>
          <w:kern w:val="1"/>
          <w:sz w:val="22"/>
          <w:lang w:val="fr-FR" w:eastAsia="ar-SA"/>
        </w:rPr>
        <w:t xml:space="preserve">s des entreprises </w:t>
      </w:r>
      <w:r w:rsidR="00B83799" w:rsidRPr="00A61129">
        <w:rPr>
          <w:rFonts w:ascii="Arial" w:hAnsi="Arial" w:cs="Arial"/>
          <w:b/>
          <w:kern w:val="1"/>
          <w:sz w:val="22"/>
          <w:lang w:val="fr-FR" w:eastAsia="ar-SA"/>
        </w:rPr>
        <w:t>pour 2012</w:t>
      </w:r>
      <w:r w:rsidR="00A61129">
        <w:rPr>
          <w:rFonts w:ascii="Arial" w:hAnsi="Arial" w:cs="Arial"/>
          <w:b/>
          <w:kern w:val="1"/>
          <w:sz w:val="22"/>
          <w:lang w:val="fr-FR" w:eastAsia="ar-SA"/>
        </w:rPr>
        <w:t xml:space="preserve"> sont</w:t>
      </w:r>
      <w:r w:rsidR="00B83799" w:rsidRPr="00A61129">
        <w:rPr>
          <w:rFonts w:ascii="Arial" w:hAnsi="Arial" w:cs="Arial"/>
          <w:b/>
          <w:kern w:val="1"/>
          <w:sz w:val="22"/>
          <w:lang w:val="fr-FR" w:eastAsia="ar-SA"/>
        </w:rPr>
        <w:t xml:space="preserve"> résolument négative</w:t>
      </w:r>
      <w:r w:rsidR="00A61129">
        <w:rPr>
          <w:rFonts w:ascii="Arial" w:hAnsi="Arial" w:cs="Arial"/>
          <w:b/>
          <w:kern w:val="1"/>
          <w:sz w:val="22"/>
          <w:lang w:val="fr-FR" w:eastAsia="ar-SA"/>
        </w:rPr>
        <w:t>s, ce</w:t>
      </w:r>
      <w:r w:rsidR="00B83799" w:rsidRPr="00A61129">
        <w:rPr>
          <w:rFonts w:ascii="Arial" w:hAnsi="Arial" w:cs="Arial"/>
          <w:b/>
          <w:kern w:val="1"/>
          <w:sz w:val="22"/>
          <w:lang w:val="fr-FR" w:eastAsia="ar-SA"/>
        </w:rPr>
        <w:t xml:space="preserve"> </w:t>
      </w:r>
      <w:r w:rsidR="00345FCA" w:rsidRPr="00A61129">
        <w:rPr>
          <w:rFonts w:ascii="Arial" w:hAnsi="Arial" w:cs="Arial"/>
          <w:b/>
          <w:kern w:val="1"/>
          <w:sz w:val="22"/>
          <w:lang w:val="fr-FR" w:eastAsia="ar-SA"/>
        </w:rPr>
        <w:t xml:space="preserve">qui s’explique par la gravité de la crise économique </w:t>
      </w:r>
      <w:r w:rsidR="00EC545C" w:rsidRPr="00A61129">
        <w:rPr>
          <w:rFonts w:ascii="Arial" w:hAnsi="Arial" w:cs="Arial"/>
          <w:b/>
          <w:kern w:val="1"/>
          <w:sz w:val="22"/>
          <w:lang w:val="fr-FR" w:eastAsia="ar-SA"/>
        </w:rPr>
        <w:t>actuelle</w:t>
      </w:r>
    </w:p>
    <w:p w:rsidR="00345FCA" w:rsidRDefault="00345FCA" w:rsidP="00634ABE">
      <w:pPr>
        <w:suppressAutoHyphens/>
        <w:jc w:val="both"/>
        <w:rPr>
          <w:rFonts w:ascii="Arial" w:hAnsi="Arial" w:cs="Arial"/>
          <w:kern w:val="1"/>
          <w:sz w:val="22"/>
          <w:lang w:val="fr-FR" w:eastAsia="ar-SA"/>
        </w:rPr>
      </w:pPr>
    </w:p>
    <w:p w:rsidR="00F90E47" w:rsidRPr="00F90E47" w:rsidRDefault="00F90E47" w:rsidP="00634ABE">
      <w:pPr>
        <w:suppressAutoHyphens/>
        <w:jc w:val="both"/>
        <w:rPr>
          <w:rFonts w:ascii="Arial" w:hAnsi="Arial" w:cs="Arial"/>
          <w:kern w:val="1"/>
          <w:sz w:val="22"/>
          <w:lang w:val="fr-FR" w:eastAsia="ar-SA"/>
        </w:rPr>
      </w:pPr>
      <w:r>
        <w:rPr>
          <w:rFonts w:ascii="Arial" w:hAnsi="Arial" w:cs="Arial"/>
          <w:kern w:val="1"/>
          <w:sz w:val="22"/>
          <w:lang w:val="fr-FR" w:eastAsia="ar-SA"/>
        </w:rPr>
        <w:t xml:space="preserve">S’agissant des </w:t>
      </w:r>
      <w:r w:rsidRPr="00F90E47">
        <w:rPr>
          <w:rFonts w:ascii="Arial" w:hAnsi="Arial" w:cs="Arial"/>
          <w:kern w:val="1"/>
          <w:sz w:val="22"/>
          <w:lang w:val="fr-FR" w:eastAsia="ar-SA"/>
        </w:rPr>
        <w:t>perspectives pour 2012</w:t>
      </w:r>
      <w:r>
        <w:rPr>
          <w:rFonts w:ascii="Arial" w:hAnsi="Arial" w:cs="Arial"/>
          <w:kern w:val="1"/>
          <w:sz w:val="22"/>
          <w:lang w:val="fr-FR" w:eastAsia="ar-SA"/>
        </w:rPr>
        <w:t xml:space="preserve"> en termes de climat des affaires</w:t>
      </w:r>
      <w:r w:rsidRPr="00F90E47">
        <w:rPr>
          <w:rFonts w:ascii="Arial" w:hAnsi="Arial" w:cs="Arial"/>
          <w:kern w:val="1"/>
          <w:sz w:val="22"/>
          <w:lang w:val="fr-FR" w:eastAsia="ar-SA"/>
        </w:rPr>
        <w:t xml:space="preserve">, </w:t>
      </w:r>
      <w:r>
        <w:rPr>
          <w:rFonts w:ascii="Arial" w:hAnsi="Arial" w:cs="Arial"/>
          <w:kern w:val="1"/>
          <w:sz w:val="22"/>
          <w:lang w:val="fr-FR" w:eastAsia="ar-SA"/>
        </w:rPr>
        <w:t>les anticipations sont fortement négatives pour l’économie globale</w:t>
      </w:r>
      <w:r w:rsidR="00BB2D74">
        <w:rPr>
          <w:rFonts w:ascii="Arial" w:hAnsi="Arial" w:cs="Arial"/>
          <w:kern w:val="1"/>
          <w:sz w:val="22"/>
          <w:lang w:val="fr-FR" w:eastAsia="ar-SA"/>
        </w:rPr>
        <w:t xml:space="preserve"> (balance de -18,2 points)</w:t>
      </w:r>
      <w:r>
        <w:rPr>
          <w:rFonts w:ascii="Arial" w:hAnsi="Arial" w:cs="Arial"/>
          <w:kern w:val="1"/>
          <w:sz w:val="22"/>
          <w:lang w:val="fr-FR" w:eastAsia="ar-SA"/>
        </w:rPr>
        <w:t xml:space="preserve">, </w:t>
      </w:r>
      <w:r w:rsidRPr="00F90E47">
        <w:rPr>
          <w:rFonts w:ascii="Arial" w:hAnsi="Arial" w:cs="Arial"/>
          <w:kern w:val="1"/>
          <w:sz w:val="22"/>
          <w:lang w:val="fr-FR" w:eastAsia="ar-SA"/>
        </w:rPr>
        <w:t xml:space="preserve">et ce en raison des </w:t>
      </w:r>
      <w:r>
        <w:rPr>
          <w:rFonts w:ascii="Arial" w:hAnsi="Arial" w:cs="Arial"/>
          <w:kern w:val="1"/>
          <w:sz w:val="22"/>
          <w:lang w:val="fr-FR" w:eastAsia="ar-SA"/>
        </w:rPr>
        <w:t>prévisions</w:t>
      </w:r>
      <w:r w:rsidRPr="00F90E47">
        <w:rPr>
          <w:rFonts w:ascii="Arial" w:hAnsi="Arial" w:cs="Arial"/>
          <w:kern w:val="1"/>
          <w:sz w:val="22"/>
          <w:lang w:val="fr-FR" w:eastAsia="ar-SA"/>
        </w:rPr>
        <w:t xml:space="preserve"> sectorielles </w:t>
      </w:r>
      <w:r w:rsidR="00822825">
        <w:rPr>
          <w:rFonts w:ascii="Arial" w:hAnsi="Arial" w:cs="Arial"/>
          <w:kern w:val="1"/>
          <w:sz w:val="22"/>
          <w:lang w:val="fr-FR" w:eastAsia="ar-SA"/>
        </w:rPr>
        <w:t>défavorables</w:t>
      </w:r>
      <w:r w:rsidR="00822825" w:rsidRPr="00F90E47">
        <w:rPr>
          <w:rFonts w:ascii="Arial" w:hAnsi="Arial" w:cs="Arial"/>
          <w:kern w:val="1"/>
          <w:sz w:val="22"/>
          <w:lang w:val="fr-FR" w:eastAsia="ar-SA"/>
        </w:rPr>
        <w:t xml:space="preserve"> </w:t>
      </w:r>
      <w:r w:rsidRPr="00F90E47">
        <w:rPr>
          <w:rFonts w:ascii="Arial" w:hAnsi="Arial" w:cs="Arial"/>
          <w:kern w:val="1"/>
          <w:sz w:val="22"/>
          <w:lang w:val="fr-FR" w:eastAsia="ar-SA"/>
        </w:rPr>
        <w:t xml:space="preserve">tant dans le secteur </w:t>
      </w:r>
      <w:r w:rsidR="00EC545C">
        <w:rPr>
          <w:rFonts w:ascii="Arial" w:hAnsi="Arial" w:cs="Arial"/>
          <w:kern w:val="1"/>
          <w:sz w:val="22"/>
          <w:lang w:val="fr-FR" w:eastAsia="ar-SA"/>
        </w:rPr>
        <w:t xml:space="preserve">de l’industrie </w:t>
      </w:r>
      <w:r w:rsidR="00BB2D74">
        <w:rPr>
          <w:rFonts w:ascii="Arial" w:hAnsi="Arial" w:cs="Arial"/>
          <w:kern w:val="1"/>
          <w:sz w:val="22"/>
          <w:lang w:val="fr-FR" w:eastAsia="ar-SA"/>
        </w:rPr>
        <w:t xml:space="preserve">(-17,8 points) </w:t>
      </w:r>
      <w:r w:rsidRPr="00F90E47">
        <w:rPr>
          <w:rFonts w:ascii="Arial" w:hAnsi="Arial" w:cs="Arial"/>
          <w:kern w:val="1"/>
          <w:sz w:val="22"/>
          <w:lang w:val="fr-FR" w:eastAsia="ar-SA"/>
        </w:rPr>
        <w:t>que dans les services</w:t>
      </w:r>
      <w:r w:rsidR="00BB2D74">
        <w:rPr>
          <w:rFonts w:ascii="Arial" w:hAnsi="Arial" w:cs="Arial"/>
          <w:kern w:val="1"/>
          <w:sz w:val="22"/>
          <w:lang w:val="fr-FR" w:eastAsia="ar-SA"/>
        </w:rPr>
        <w:t xml:space="preserve"> (-18,4 points)</w:t>
      </w:r>
      <w:r w:rsidRPr="00F90E47">
        <w:rPr>
          <w:rFonts w:ascii="Arial" w:hAnsi="Arial" w:cs="Arial"/>
          <w:kern w:val="1"/>
          <w:sz w:val="22"/>
          <w:lang w:val="fr-FR" w:eastAsia="ar-SA"/>
        </w:rPr>
        <w:t>.</w:t>
      </w:r>
    </w:p>
    <w:p w:rsidR="00F90E47" w:rsidRPr="00F90E47" w:rsidRDefault="00F90E47" w:rsidP="00634ABE">
      <w:pPr>
        <w:suppressAutoHyphens/>
        <w:jc w:val="both"/>
        <w:rPr>
          <w:rFonts w:ascii="Arial" w:hAnsi="Arial" w:cs="Arial"/>
          <w:kern w:val="1"/>
          <w:sz w:val="22"/>
          <w:lang w:val="fr-FR" w:eastAsia="ar-SA"/>
        </w:rPr>
      </w:pPr>
    </w:p>
    <w:p w:rsidR="00A94148" w:rsidRPr="00F90E47" w:rsidRDefault="00F90E47" w:rsidP="00634ABE">
      <w:pPr>
        <w:suppressAutoHyphens/>
        <w:jc w:val="both"/>
        <w:rPr>
          <w:rFonts w:ascii="Arial" w:hAnsi="Arial" w:cs="Arial"/>
          <w:kern w:val="1"/>
          <w:sz w:val="22"/>
          <w:lang w:val="fr-FR" w:eastAsia="ar-SA"/>
        </w:rPr>
      </w:pPr>
      <w:r w:rsidRPr="00F90E47">
        <w:rPr>
          <w:rFonts w:ascii="Arial" w:hAnsi="Arial" w:cs="Arial"/>
          <w:kern w:val="1"/>
          <w:sz w:val="22"/>
          <w:lang w:val="fr-FR" w:eastAsia="ar-SA"/>
        </w:rPr>
        <w:t>La majorité des e</w:t>
      </w:r>
      <w:r w:rsidR="00384622">
        <w:rPr>
          <w:rFonts w:ascii="Arial" w:hAnsi="Arial" w:cs="Arial"/>
          <w:kern w:val="1"/>
          <w:sz w:val="22"/>
          <w:lang w:val="fr-FR" w:eastAsia="ar-SA"/>
        </w:rPr>
        <w:t>ntreprises interrogées déclare</w:t>
      </w:r>
      <w:r w:rsidRPr="00F90E47">
        <w:rPr>
          <w:rFonts w:ascii="Arial" w:hAnsi="Arial" w:cs="Arial"/>
          <w:kern w:val="1"/>
          <w:sz w:val="22"/>
          <w:lang w:val="fr-FR" w:eastAsia="ar-SA"/>
        </w:rPr>
        <w:t xml:space="preserve"> que l’influence de l’environnement économique </w:t>
      </w:r>
      <w:r w:rsidR="00384622">
        <w:rPr>
          <w:rFonts w:ascii="Arial" w:hAnsi="Arial" w:cs="Arial"/>
          <w:kern w:val="1"/>
          <w:sz w:val="22"/>
          <w:lang w:val="fr-FR" w:eastAsia="ar-SA"/>
        </w:rPr>
        <w:t>sur</w:t>
      </w:r>
      <w:r w:rsidR="00384622" w:rsidRPr="00F90E47">
        <w:rPr>
          <w:rFonts w:ascii="Arial" w:hAnsi="Arial" w:cs="Arial"/>
          <w:kern w:val="1"/>
          <w:sz w:val="22"/>
          <w:lang w:val="fr-FR" w:eastAsia="ar-SA"/>
        </w:rPr>
        <w:t xml:space="preserve"> leurs activités en 2012</w:t>
      </w:r>
      <w:r w:rsidR="00384622">
        <w:rPr>
          <w:rFonts w:ascii="Arial" w:hAnsi="Arial" w:cs="Arial"/>
          <w:kern w:val="1"/>
          <w:sz w:val="22"/>
          <w:lang w:val="fr-FR" w:eastAsia="ar-SA"/>
        </w:rPr>
        <w:t xml:space="preserve"> </w:t>
      </w:r>
      <w:r w:rsidRPr="00F90E47">
        <w:rPr>
          <w:rFonts w:ascii="Arial" w:hAnsi="Arial" w:cs="Arial"/>
          <w:kern w:val="1"/>
          <w:sz w:val="22"/>
          <w:lang w:val="fr-FR" w:eastAsia="ar-SA"/>
        </w:rPr>
        <w:t xml:space="preserve">sera identique ou défavorable. Ainsi, une entreprise sur huit seulement </w:t>
      </w:r>
      <w:r w:rsidR="008615F2">
        <w:rPr>
          <w:rFonts w:ascii="Arial" w:hAnsi="Arial" w:cs="Arial"/>
          <w:kern w:val="1"/>
          <w:sz w:val="22"/>
          <w:lang w:val="fr-FR" w:eastAsia="ar-SA"/>
        </w:rPr>
        <w:t>s’attend à</w:t>
      </w:r>
      <w:r w:rsidRPr="00F90E47">
        <w:rPr>
          <w:rFonts w:ascii="Arial" w:hAnsi="Arial" w:cs="Arial"/>
          <w:kern w:val="1"/>
          <w:sz w:val="22"/>
          <w:lang w:val="fr-FR" w:eastAsia="ar-SA"/>
        </w:rPr>
        <w:t xml:space="preserve"> une </w:t>
      </w:r>
      <w:r w:rsidRPr="00FF3DEB">
        <w:rPr>
          <w:rFonts w:ascii="Arial" w:hAnsi="Arial" w:cs="Arial"/>
          <w:kern w:val="1"/>
          <w:sz w:val="22"/>
          <w:lang w:val="fr-FR" w:eastAsia="ar-SA"/>
        </w:rPr>
        <w:t>amélioration du climat des affaires l’an prochain</w:t>
      </w:r>
      <w:r w:rsidR="008615F2" w:rsidRPr="00FF3DEB">
        <w:rPr>
          <w:rFonts w:ascii="Arial" w:hAnsi="Arial" w:cs="Arial"/>
          <w:kern w:val="1"/>
          <w:sz w:val="22"/>
          <w:lang w:val="fr-FR" w:eastAsia="ar-SA"/>
        </w:rPr>
        <w:t xml:space="preserve">, alors que </w:t>
      </w:r>
      <w:r w:rsidR="00FF3DEB" w:rsidRPr="00FF3DEB">
        <w:rPr>
          <w:rFonts w:ascii="Arial" w:hAnsi="Arial" w:cs="Arial"/>
          <w:kern w:val="1"/>
          <w:sz w:val="22"/>
          <w:lang w:val="fr-FR" w:eastAsia="ar-SA"/>
        </w:rPr>
        <w:t>30,5</w:t>
      </w:r>
      <w:r w:rsidR="008615F2" w:rsidRPr="00FF3DEB">
        <w:rPr>
          <w:rFonts w:ascii="Arial" w:hAnsi="Arial" w:cs="Arial"/>
          <w:kern w:val="1"/>
          <w:sz w:val="22"/>
          <w:lang w:val="fr-FR" w:eastAsia="ar-SA"/>
        </w:rPr>
        <w:t>% table sur une dégradation de l’environnement conjoncturel</w:t>
      </w:r>
      <w:r w:rsidR="00B83799" w:rsidRPr="00FF3DEB">
        <w:rPr>
          <w:rFonts w:ascii="Arial" w:hAnsi="Arial" w:cs="Arial"/>
          <w:kern w:val="1"/>
          <w:sz w:val="22"/>
          <w:lang w:val="fr-FR" w:eastAsia="ar-SA"/>
        </w:rPr>
        <w:t>.</w:t>
      </w:r>
      <w:r w:rsidR="00B83799">
        <w:rPr>
          <w:rFonts w:ascii="Arial" w:hAnsi="Arial" w:cs="Arial"/>
          <w:kern w:val="1"/>
          <w:sz w:val="22"/>
          <w:lang w:val="fr-FR" w:eastAsia="ar-SA"/>
        </w:rPr>
        <w:t xml:space="preserve"> </w:t>
      </w:r>
      <w:r w:rsidR="00A94148" w:rsidRPr="00A94148">
        <w:rPr>
          <w:rFonts w:ascii="Arial" w:hAnsi="Arial" w:cs="Arial"/>
          <w:kern w:val="1"/>
          <w:sz w:val="22"/>
          <w:lang w:val="fr-FR" w:eastAsia="ar-SA"/>
        </w:rPr>
        <w:t xml:space="preserve">Tant les </w:t>
      </w:r>
      <w:r w:rsidR="00A94148" w:rsidRPr="006D79B4">
        <w:rPr>
          <w:rFonts w:ascii="Arial" w:hAnsi="Arial" w:cs="Arial"/>
          <w:kern w:val="1"/>
          <w:sz w:val="22"/>
          <w:lang w:val="fr-FR" w:eastAsia="ar-SA"/>
        </w:rPr>
        <w:t>firmes exportatrices</w:t>
      </w:r>
      <w:r w:rsidR="00A94148" w:rsidRPr="00A94148">
        <w:rPr>
          <w:rFonts w:ascii="Arial" w:hAnsi="Arial" w:cs="Arial"/>
          <w:b/>
          <w:kern w:val="1"/>
          <w:sz w:val="22"/>
          <w:lang w:val="fr-FR" w:eastAsia="ar-SA"/>
        </w:rPr>
        <w:t xml:space="preserve"> </w:t>
      </w:r>
      <w:r w:rsidR="00A94148" w:rsidRPr="00A94148">
        <w:rPr>
          <w:rFonts w:ascii="Arial" w:hAnsi="Arial" w:cs="Arial"/>
          <w:kern w:val="1"/>
          <w:sz w:val="22"/>
          <w:lang w:val="fr-FR" w:eastAsia="ar-SA"/>
        </w:rPr>
        <w:t xml:space="preserve">que </w:t>
      </w:r>
      <w:r w:rsidR="00A94148" w:rsidRPr="00FF3DEB">
        <w:rPr>
          <w:rFonts w:ascii="Arial" w:hAnsi="Arial" w:cs="Arial"/>
          <w:kern w:val="1"/>
          <w:sz w:val="22"/>
          <w:lang w:val="fr-FR" w:eastAsia="ar-SA"/>
        </w:rPr>
        <w:t>celles orientées vers le seul marché national affichent un</w:t>
      </w:r>
      <w:r w:rsidR="00572B34" w:rsidRPr="00FF3DEB">
        <w:rPr>
          <w:rFonts w:ascii="Arial" w:hAnsi="Arial" w:cs="Arial"/>
          <w:kern w:val="1"/>
          <w:sz w:val="22"/>
          <w:lang w:val="fr-FR" w:eastAsia="ar-SA"/>
        </w:rPr>
        <w:t xml:space="preserve"> pessimisme important pour 2012</w:t>
      </w:r>
      <w:r w:rsidR="00FF3DEB" w:rsidRPr="00FF3DEB">
        <w:rPr>
          <w:rFonts w:ascii="Arial" w:hAnsi="Arial" w:cs="Arial"/>
          <w:kern w:val="1"/>
          <w:sz w:val="22"/>
          <w:lang w:val="fr-FR" w:eastAsia="ar-SA"/>
        </w:rPr>
        <w:t>, traduit par des balances nettes (c’est-à-dire la différence entre les réponses favorables et les réponses défavorables) négatives : -15,4 points pour les premières et -19,5 points pour les secondes</w:t>
      </w:r>
      <w:r w:rsidR="00572B34" w:rsidRPr="00FF3DEB">
        <w:rPr>
          <w:rFonts w:ascii="Arial" w:hAnsi="Arial" w:cs="Arial"/>
          <w:kern w:val="1"/>
          <w:sz w:val="22"/>
          <w:lang w:val="fr-FR" w:eastAsia="ar-SA"/>
        </w:rPr>
        <w:t>.</w:t>
      </w:r>
    </w:p>
    <w:p w:rsidR="00121929" w:rsidRDefault="00121929" w:rsidP="00634ABE">
      <w:pPr>
        <w:suppressAutoHyphens/>
        <w:jc w:val="both"/>
        <w:rPr>
          <w:rFonts w:ascii="Arial" w:hAnsi="Arial" w:cs="Arial"/>
          <w:bCs/>
          <w:kern w:val="1"/>
          <w:sz w:val="22"/>
          <w:lang w:val="fr-FR" w:eastAsia="ar-SA"/>
        </w:rPr>
      </w:pPr>
    </w:p>
    <w:p w:rsidR="00121929" w:rsidRDefault="00560A36" w:rsidP="00634ABE">
      <w:pPr>
        <w:suppressAutoHyphens/>
        <w:jc w:val="both"/>
        <w:rPr>
          <w:rFonts w:ascii="Arial" w:hAnsi="Arial" w:cs="Arial"/>
          <w:bCs/>
          <w:kern w:val="1"/>
          <w:sz w:val="22"/>
          <w:lang w:val="fr-FR" w:eastAsia="ar-SA"/>
        </w:rPr>
      </w:pPr>
      <w:r>
        <w:rPr>
          <w:rFonts w:ascii="Arial" w:hAnsi="Arial" w:cs="Arial"/>
          <w:bCs/>
          <w:kern w:val="1"/>
          <w:sz w:val="22"/>
          <w:lang w:val="fr-FR" w:eastAsia="ar-SA"/>
        </w:rPr>
        <w:t>Par le passé, l</w:t>
      </w:r>
      <w:r w:rsidR="00121929" w:rsidRPr="00121929">
        <w:rPr>
          <w:rFonts w:ascii="Arial" w:hAnsi="Arial" w:cs="Arial"/>
          <w:bCs/>
          <w:kern w:val="1"/>
          <w:sz w:val="22"/>
          <w:lang w:val="fr-FR" w:eastAsia="ar-SA"/>
        </w:rPr>
        <w:t xml:space="preserve">es perceptions des chefs d’entreprises se </w:t>
      </w:r>
      <w:r>
        <w:rPr>
          <w:rFonts w:ascii="Arial" w:hAnsi="Arial" w:cs="Arial"/>
          <w:bCs/>
          <w:kern w:val="1"/>
          <w:sz w:val="22"/>
          <w:lang w:val="fr-FR" w:eastAsia="ar-SA"/>
        </w:rPr>
        <w:t xml:space="preserve">sont </w:t>
      </w:r>
      <w:r w:rsidR="0084632E" w:rsidRPr="00121929">
        <w:rPr>
          <w:rFonts w:ascii="Arial" w:hAnsi="Arial" w:cs="Arial"/>
          <w:bCs/>
          <w:kern w:val="1"/>
          <w:sz w:val="22"/>
          <w:lang w:val="fr-FR" w:eastAsia="ar-SA"/>
        </w:rPr>
        <w:t>révél</w:t>
      </w:r>
      <w:r w:rsidR="0084632E">
        <w:rPr>
          <w:rFonts w:ascii="Arial" w:hAnsi="Arial" w:cs="Arial"/>
          <w:bCs/>
          <w:kern w:val="1"/>
          <w:sz w:val="22"/>
          <w:lang w:val="fr-FR" w:eastAsia="ar-SA"/>
        </w:rPr>
        <w:t>ées</w:t>
      </w:r>
      <w:r w:rsidR="00121929" w:rsidRPr="00121929">
        <w:rPr>
          <w:rFonts w:ascii="Arial" w:hAnsi="Arial" w:cs="Arial"/>
          <w:bCs/>
          <w:kern w:val="1"/>
          <w:sz w:val="22"/>
          <w:lang w:val="fr-FR" w:eastAsia="ar-SA"/>
        </w:rPr>
        <w:t xml:space="preserve"> relativement proches de la réalité</w:t>
      </w:r>
      <w:r w:rsidR="000629CC">
        <w:rPr>
          <w:rFonts w:ascii="Arial" w:hAnsi="Arial" w:cs="Arial"/>
          <w:bCs/>
          <w:kern w:val="1"/>
          <w:sz w:val="22"/>
          <w:lang w:val="fr-FR" w:eastAsia="ar-SA"/>
        </w:rPr>
        <w:t>, comme il ressort du graphique ci-dessous</w:t>
      </w:r>
      <w:r w:rsidR="00121929" w:rsidRPr="00121929">
        <w:rPr>
          <w:rFonts w:ascii="Arial" w:hAnsi="Arial" w:cs="Arial"/>
          <w:bCs/>
          <w:kern w:val="1"/>
          <w:sz w:val="22"/>
          <w:lang w:val="fr-FR" w:eastAsia="ar-SA"/>
        </w:rPr>
        <w:t>. Ainsi, au vu de l’appréciation des répondants à l’enquête EES2012, l’économie luxembourgeoise ne pourra guère renouer avec les taux de croissance élevés qu’elle a connus avant l’éclatement de la crise en 2008.</w:t>
      </w:r>
      <w:r w:rsidR="000629CC">
        <w:rPr>
          <w:rFonts w:ascii="Arial" w:hAnsi="Arial" w:cs="Arial"/>
          <w:bCs/>
          <w:kern w:val="1"/>
          <w:sz w:val="22"/>
          <w:lang w:val="fr-FR" w:eastAsia="ar-SA"/>
        </w:rPr>
        <w:t xml:space="preserve"> D</w:t>
      </w:r>
      <w:r>
        <w:rPr>
          <w:rFonts w:ascii="Arial" w:hAnsi="Arial" w:cs="Arial"/>
          <w:bCs/>
          <w:kern w:val="1"/>
          <w:sz w:val="22"/>
          <w:lang w:val="fr-FR" w:eastAsia="ar-SA"/>
        </w:rPr>
        <w:t xml:space="preserve">’après les </w:t>
      </w:r>
      <w:r w:rsidR="00EC545C">
        <w:rPr>
          <w:rFonts w:ascii="Arial" w:hAnsi="Arial" w:cs="Arial"/>
          <w:bCs/>
          <w:kern w:val="1"/>
          <w:sz w:val="22"/>
          <w:lang w:val="fr-FR" w:eastAsia="ar-SA"/>
        </w:rPr>
        <w:t>récentes prévisions</w:t>
      </w:r>
      <w:r>
        <w:rPr>
          <w:rFonts w:ascii="Arial" w:hAnsi="Arial" w:cs="Arial"/>
          <w:bCs/>
          <w:kern w:val="1"/>
          <w:sz w:val="22"/>
          <w:lang w:val="fr-FR" w:eastAsia="ar-SA"/>
        </w:rPr>
        <w:t>, la croissance du PIB en 2012 ne serait comprise qu’entre 0,4% et 1,4%, soit à peine un cinquième de la moyenne historique.</w:t>
      </w:r>
    </w:p>
    <w:p w:rsidR="00AB4D23" w:rsidRDefault="00AB4D23" w:rsidP="00634ABE">
      <w:pPr>
        <w:suppressAutoHyphens/>
        <w:jc w:val="both"/>
        <w:rPr>
          <w:rFonts w:ascii="Arial" w:hAnsi="Arial" w:cs="Arial"/>
          <w:bCs/>
          <w:kern w:val="1"/>
          <w:sz w:val="22"/>
          <w:lang w:val="fr-FR" w:eastAsia="ar-SA"/>
        </w:rPr>
      </w:pPr>
    </w:p>
    <w:p w:rsidR="00572B34" w:rsidRDefault="00572B34" w:rsidP="00634ABE">
      <w:pPr>
        <w:pStyle w:val="Caption"/>
        <w:rPr>
          <w:b w:val="0"/>
          <w:lang w:val="fr-FR"/>
        </w:rPr>
      </w:pPr>
      <w:bookmarkStart w:id="0" w:name="_Toc246849189"/>
      <w:r w:rsidRPr="00572B34">
        <w:rPr>
          <w:b w:val="0"/>
          <w:lang w:val="fr-FR"/>
        </w:rPr>
        <w:t xml:space="preserve">Les chefs d’entreprises, de par </w:t>
      </w:r>
      <w:r>
        <w:rPr>
          <w:b w:val="0"/>
          <w:lang w:val="fr-FR"/>
        </w:rPr>
        <w:t>leurs</w:t>
      </w:r>
      <w:r w:rsidRPr="00572B34">
        <w:rPr>
          <w:b w:val="0"/>
          <w:lang w:val="fr-FR"/>
        </w:rPr>
        <w:t xml:space="preserve"> opinions</w:t>
      </w:r>
      <w:r>
        <w:rPr>
          <w:b w:val="0"/>
          <w:lang w:val="fr-FR"/>
        </w:rPr>
        <w:t xml:space="preserve"> pessimistes</w:t>
      </w:r>
      <w:r w:rsidRPr="00572B34">
        <w:rPr>
          <w:b w:val="0"/>
          <w:lang w:val="fr-FR"/>
        </w:rPr>
        <w:t xml:space="preserve"> exprimées à travers l’enquête  Eurochambres, confirment largement les perspectives d’évolution </w:t>
      </w:r>
      <w:r>
        <w:rPr>
          <w:b w:val="0"/>
          <w:lang w:val="fr-FR"/>
        </w:rPr>
        <w:t>maussades</w:t>
      </w:r>
      <w:r w:rsidRPr="00572B34">
        <w:rPr>
          <w:b w:val="0"/>
          <w:lang w:val="fr-FR"/>
        </w:rPr>
        <w:t xml:space="preserve"> de l’économie luxembourgeoise</w:t>
      </w:r>
      <w:r w:rsidR="00EB38B3">
        <w:rPr>
          <w:b w:val="0"/>
          <w:lang w:val="fr-FR"/>
        </w:rPr>
        <w:t>, au niveau macroéconomique</w:t>
      </w:r>
      <w:r w:rsidRPr="00572B34">
        <w:rPr>
          <w:b w:val="0"/>
          <w:lang w:val="fr-FR"/>
        </w:rPr>
        <w:t>.</w:t>
      </w:r>
    </w:p>
    <w:bookmarkEnd w:id="0"/>
    <w:p w:rsidR="00EB38B3" w:rsidRPr="00EB38B3" w:rsidRDefault="00EB38B3" w:rsidP="00EB38B3">
      <w:pPr>
        <w:rPr>
          <w:lang w:val="fr-LU" w:eastAsia="ar-SA"/>
        </w:rPr>
      </w:pPr>
      <w:r>
        <w:rPr>
          <w:rFonts w:ascii="Arial" w:hAnsi="Arial" w:cs="Arial"/>
          <w:kern w:val="1"/>
          <w:sz w:val="22"/>
          <w:szCs w:val="18"/>
          <w:lang w:val="fr-FR" w:eastAsia="ar-SA"/>
        </w:rPr>
        <w:lastRenderedPageBreak/>
        <w:t>Graphique 1</w:t>
      </w:r>
      <w:r w:rsidRPr="00EB38B3">
        <w:rPr>
          <w:rFonts w:ascii="Arial" w:hAnsi="Arial" w:cs="Arial"/>
          <w:kern w:val="1"/>
          <w:sz w:val="22"/>
          <w:szCs w:val="18"/>
          <w:lang w:val="fr-FR" w:eastAsia="ar-SA"/>
        </w:rPr>
        <w:t xml:space="preserve"> : Climat des affaires / En 2012, l’influence de l’environnement économique sur votre entreprise sera ...</w:t>
      </w:r>
    </w:p>
    <w:p w:rsidR="0057077F" w:rsidRPr="0057077F" w:rsidRDefault="00EB38B3" w:rsidP="00634ABE">
      <w:pPr>
        <w:jc w:val="both"/>
        <w:rPr>
          <w:lang w:val="fr-FR" w:eastAsia="ar-SA"/>
        </w:rPr>
      </w:pPr>
      <w:r w:rsidRPr="00EB38B3">
        <w:rPr>
          <w:noProof/>
          <w:lang w:val="fr-LU" w:eastAsia="fr-LU"/>
        </w:rPr>
        <w:drawing>
          <wp:inline distT="0" distB="0" distL="0" distR="0">
            <wp:extent cx="5760720" cy="3348000"/>
            <wp:effectExtent l="19050" t="0" r="11430" b="48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72A20" w:rsidRDefault="00572A20" w:rsidP="00634ABE">
      <w:pPr>
        <w:jc w:val="both"/>
        <w:rPr>
          <w:rFonts w:ascii="Arial" w:hAnsi="Arial" w:cs="Arial"/>
          <w:b/>
          <w:sz w:val="22"/>
          <w:szCs w:val="22"/>
          <w:lang w:val="fr-LU"/>
        </w:rPr>
      </w:pPr>
    </w:p>
    <w:p w:rsidR="00EB38B3" w:rsidRDefault="00EB38B3" w:rsidP="00634ABE">
      <w:pPr>
        <w:jc w:val="both"/>
        <w:rPr>
          <w:rFonts w:ascii="Arial" w:hAnsi="Arial" w:cs="Arial"/>
          <w:b/>
          <w:sz w:val="22"/>
          <w:szCs w:val="22"/>
          <w:lang w:val="fr-LU"/>
        </w:rPr>
      </w:pPr>
    </w:p>
    <w:p w:rsidR="00A309BC" w:rsidRPr="000C2400" w:rsidRDefault="00572B34" w:rsidP="00634ABE">
      <w:pPr>
        <w:jc w:val="both"/>
        <w:rPr>
          <w:rFonts w:ascii="Arial" w:hAnsi="Arial" w:cs="Arial"/>
          <w:i/>
          <w:sz w:val="22"/>
          <w:szCs w:val="22"/>
          <w:lang w:val="fr-LU"/>
        </w:rPr>
      </w:pPr>
      <w:r>
        <w:rPr>
          <w:rFonts w:ascii="Arial" w:hAnsi="Arial" w:cs="Arial"/>
          <w:bCs/>
          <w:sz w:val="22"/>
          <w:szCs w:val="22"/>
          <w:lang w:val="fr-FR"/>
        </w:rPr>
        <w:t xml:space="preserve">Même si les balances n’atteignent pas les niveaux négatifs de l’année 2009, année de crise par excellence, les attentes des entreprises pour l’année </w:t>
      </w:r>
      <w:r w:rsidR="00AE6676">
        <w:rPr>
          <w:rFonts w:ascii="Arial" w:hAnsi="Arial" w:cs="Arial"/>
          <w:bCs/>
          <w:sz w:val="22"/>
          <w:szCs w:val="22"/>
          <w:lang w:val="fr-FR"/>
        </w:rPr>
        <w:t>prochaine</w:t>
      </w:r>
      <w:r>
        <w:rPr>
          <w:rFonts w:ascii="Arial" w:hAnsi="Arial" w:cs="Arial"/>
          <w:bCs/>
          <w:sz w:val="22"/>
          <w:szCs w:val="22"/>
          <w:lang w:val="fr-FR"/>
        </w:rPr>
        <w:t xml:space="preserve"> replongent dans le rouge, ce qui fait craindre une nouvelle récession économique en 2012. </w:t>
      </w:r>
      <w:r w:rsidRPr="00507882">
        <w:rPr>
          <w:rFonts w:ascii="Arial" w:hAnsi="Arial" w:cs="Arial"/>
          <w:bCs/>
          <w:sz w:val="22"/>
          <w:szCs w:val="22"/>
          <w:lang w:val="fr-FR"/>
        </w:rPr>
        <w:t xml:space="preserve">Dans ce contexte, </w:t>
      </w:r>
      <w:r w:rsidR="008D023B" w:rsidRPr="00507882">
        <w:rPr>
          <w:rFonts w:ascii="Arial" w:hAnsi="Arial" w:cs="Arial"/>
          <w:bCs/>
          <w:sz w:val="22"/>
          <w:szCs w:val="22"/>
          <w:lang w:val="fr-FR"/>
        </w:rPr>
        <w:t>le STATEC présente</w:t>
      </w:r>
      <w:r w:rsidR="00AE6676">
        <w:rPr>
          <w:rFonts w:ascii="Arial" w:hAnsi="Arial" w:cs="Arial"/>
          <w:bCs/>
          <w:sz w:val="22"/>
          <w:szCs w:val="22"/>
          <w:lang w:val="fr-FR"/>
        </w:rPr>
        <w:t>,</w:t>
      </w:r>
      <w:r w:rsidR="008D023B" w:rsidRPr="00507882">
        <w:rPr>
          <w:rFonts w:ascii="Arial" w:hAnsi="Arial" w:cs="Arial"/>
          <w:bCs/>
          <w:sz w:val="22"/>
          <w:szCs w:val="22"/>
          <w:lang w:val="fr-FR"/>
        </w:rPr>
        <w:t xml:space="preserve"> dans sa Note de Conjoncture 03-2011</w:t>
      </w:r>
      <w:r w:rsidR="00AE6676">
        <w:rPr>
          <w:rFonts w:ascii="Arial" w:hAnsi="Arial" w:cs="Arial"/>
          <w:bCs/>
          <w:sz w:val="22"/>
          <w:szCs w:val="22"/>
          <w:lang w:val="fr-FR"/>
        </w:rPr>
        <w:t>,</w:t>
      </w:r>
      <w:r w:rsidR="008D023B" w:rsidRPr="00507882">
        <w:rPr>
          <w:rFonts w:ascii="Arial" w:hAnsi="Arial" w:cs="Arial"/>
          <w:bCs/>
          <w:sz w:val="22"/>
          <w:szCs w:val="22"/>
          <w:lang w:val="fr-FR"/>
        </w:rPr>
        <w:t xml:space="preserve"> </w:t>
      </w:r>
      <w:r w:rsidR="00AE6676">
        <w:rPr>
          <w:rFonts w:ascii="Arial" w:hAnsi="Arial" w:cs="Arial"/>
          <w:bCs/>
          <w:sz w:val="22"/>
          <w:szCs w:val="22"/>
          <w:lang w:val="fr-FR"/>
        </w:rPr>
        <w:t>un scénario alternatif</w:t>
      </w:r>
      <w:r w:rsidR="008D023B" w:rsidRPr="00507882">
        <w:rPr>
          <w:rFonts w:ascii="Arial" w:hAnsi="Arial" w:cs="Arial"/>
          <w:bCs/>
          <w:sz w:val="22"/>
          <w:szCs w:val="22"/>
          <w:lang w:val="fr-FR"/>
        </w:rPr>
        <w:t>. Dans ce dernier, la variation du PIB en volume du Luxembourg serait</w:t>
      </w:r>
      <w:r w:rsidR="00EB38B3">
        <w:rPr>
          <w:rFonts w:ascii="Arial" w:hAnsi="Arial" w:cs="Arial"/>
          <w:bCs/>
          <w:sz w:val="22"/>
          <w:szCs w:val="22"/>
          <w:lang w:val="fr-FR"/>
        </w:rPr>
        <w:t xml:space="preserve"> effectivement</w:t>
      </w:r>
      <w:r w:rsidR="008D023B" w:rsidRPr="00507882">
        <w:rPr>
          <w:rFonts w:ascii="Arial" w:hAnsi="Arial" w:cs="Arial"/>
          <w:bCs/>
          <w:sz w:val="22"/>
          <w:szCs w:val="22"/>
          <w:lang w:val="fr-FR"/>
        </w:rPr>
        <w:t xml:space="preserve"> néga</w:t>
      </w:r>
      <w:r w:rsidR="00507882" w:rsidRPr="00507882">
        <w:rPr>
          <w:rFonts w:ascii="Arial" w:hAnsi="Arial" w:cs="Arial"/>
          <w:bCs/>
          <w:sz w:val="22"/>
          <w:szCs w:val="22"/>
          <w:lang w:val="fr-FR"/>
        </w:rPr>
        <w:t>tive en 2012, de l'ordre de -2%</w:t>
      </w:r>
      <w:r w:rsidR="008D023B" w:rsidRPr="00507882">
        <w:rPr>
          <w:rFonts w:ascii="Arial" w:hAnsi="Arial" w:cs="Arial"/>
          <w:bCs/>
          <w:sz w:val="22"/>
          <w:szCs w:val="22"/>
          <w:lang w:val="fr-FR"/>
        </w:rPr>
        <w:t>. Les conséquences de cette baisse ont été simulées avec le modèle macro-économétrique du STATEC</w:t>
      </w:r>
      <w:r w:rsidR="00AE6676">
        <w:rPr>
          <w:rFonts w:ascii="Arial" w:hAnsi="Arial" w:cs="Arial"/>
          <w:bCs/>
          <w:sz w:val="22"/>
          <w:szCs w:val="22"/>
          <w:lang w:val="fr-FR"/>
        </w:rPr>
        <w:t xml:space="preserve"> </w:t>
      </w:r>
      <w:r w:rsidR="008D023B" w:rsidRPr="00507882">
        <w:rPr>
          <w:rFonts w:ascii="Arial" w:hAnsi="Arial" w:cs="Arial"/>
          <w:bCs/>
          <w:sz w:val="22"/>
          <w:szCs w:val="22"/>
          <w:lang w:val="fr-FR"/>
        </w:rPr>
        <w:t>: un chômage qui dépasserait (légèrement) les 7%, une inflation en berne et des finances publiques qui ne respecteraient plus les normes européennes (-3,2% en 2013/2014).</w:t>
      </w:r>
    </w:p>
    <w:p w:rsidR="00481FE7" w:rsidRDefault="00481FE7" w:rsidP="00634ABE">
      <w:pPr>
        <w:jc w:val="both"/>
        <w:rPr>
          <w:rFonts w:ascii="Arial" w:hAnsi="Arial" w:cs="Arial"/>
          <w:b/>
          <w:sz w:val="22"/>
          <w:szCs w:val="22"/>
          <w:lang w:val="fr-FR"/>
        </w:rPr>
      </w:pPr>
    </w:p>
    <w:p w:rsidR="00CF1B26" w:rsidRPr="005C1A88" w:rsidRDefault="00CF1B26" w:rsidP="00634ABE">
      <w:pPr>
        <w:jc w:val="both"/>
        <w:rPr>
          <w:rFonts w:ascii="Arial" w:hAnsi="Arial" w:cs="Arial"/>
          <w:b/>
          <w:sz w:val="22"/>
          <w:szCs w:val="22"/>
          <w:lang w:val="fr-FR"/>
        </w:rPr>
      </w:pPr>
      <w:r w:rsidRPr="005C1A88">
        <w:rPr>
          <w:rFonts w:ascii="Arial" w:hAnsi="Arial" w:cs="Arial"/>
          <w:b/>
          <w:sz w:val="22"/>
          <w:szCs w:val="22"/>
          <w:lang w:val="fr-FR"/>
        </w:rPr>
        <w:t>2. Chiffre d’affaires total, national et à l’exportation</w:t>
      </w:r>
      <w:r w:rsidR="00EA7E08">
        <w:rPr>
          <w:rFonts w:ascii="Arial" w:hAnsi="Arial" w:cs="Arial"/>
          <w:b/>
          <w:sz w:val="22"/>
          <w:szCs w:val="22"/>
          <w:lang w:val="fr-FR"/>
        </w:rPr>
        <w:t> : D</w:t>
      </w:r>
      <w:r w:rsidR="00DF7EFB">
        <w:rPr>
          <w:rFonts w:ascii="Arial" w:hAnsi="Arial" w:cs="Arial"/>
          <w:b/>
          <w:sz w:val="22"/>
          <w:szCs w:val="22"/>
          <w:lang w:val="fr-FR"/>
        </w:rPr>
        <w:t xml:space="preserve">es anticipations « prudentes » </w:t>
      </w:r>
      <w:r w:rsidR="00572B34">
        <w:rPr>
          <w:rFonts w:ascii="Arial" w:hAnsi="Arial" w:cs="Arial"/>
          <w:b/>
          <w:sz w:val="22"/>
          <w:szCs w:val="22"/>
          <w:lang w:val="fr-FR"/>
        </w:rPr>
        <w:t>dans un contexte de crise mondiale et de baisse potentielle de la demande interne et externe</w:t>
      </w:r>
    </w:p>
    <w:p w:rsidR="000C2400" w:rsidRDefault="000C2400" w:rsidP="00634ABE">
      <w:pPr>
        <w:jc w:val="both"/>
        <w:rPr>
          <w:rFonts w:ascii="Arial" w:hAnsi="Arial" w:cs="Arial"/>
          <w:b/>
          <w:sz w:val="22"/>
          <w:szCs w:val="22"/>
          <w:lang w:val="fr-FR"/>
        </w:rPr>
      </w:pPr>
    </w:p>
    <w:p w:rsidR="00CF1B26" w:rsidRDefault="003A701D" w:rsidP="00634ABE">
      <w:pPr>
        <w:jc w:val="both"/>
        <w:rPr>
          <w:rFonts w:ascii="Arial" w:hAnsi="Arial" w:cs="Arial"/>
          <w:sz w:val="22"/>
          <w:szCs w:val="22"/>
          <w:lang w:val="fr-FR"/>
        </w:rPr>
      </w:pPr>
      <w:r w:rsidRPr="0057077F">
        <w:rPr>
          <w:rFonts w:ascii="Arial" w:hAnsi="Arial" w:cs="Arial"/>
          <w:sz w:val="22"/>
          <w:szCs w:val="22"/>
          <w:lang w:val="fr-FR"/>
        </w:rPr>
        <w:t xml:space="preserve">Les </w:t>
      </w:r>
      <w:r w:rsidR="00F06DA7" w:rsidRPr="0057077F">
        <w:rPr>
          <w:rFonts w:ascii="Arial" w:hAnsi="Arial" w:cs="Arial"/>
          <w:sz w:val="22"/>
          <w:szCs w:val="22"/>
          <w:lang w:val="fr-FR"/>
        </w:rPr>
        <w:t>anticipations</w:t>
      </w:r>
      <w:r w:rsidRPr="003A701D">
        <w:rPr>
          <w:rFonts w:ascii="Arial" w:hAnsi="Arial" w:cs="Arial"/>
          <w:sz w:val="22"/>
          <w:szCs w:val="22"/>
          <w:lang w:val="fr-FR"/>
        </w:rPr>
        <w:t xml:space="preserve"> pour 2012 mettent en évidence un certain </w:t>
      </w:r>
      <w:r w:rsidR="002154E9">
        <w:rPr>
          <w:rFonts w:ascii="Arial" w:hAnsi="Arial" w:cs="Arial"/>
          <w:sz w:val="22"/>
          <w:szCs w:val="22"/>
          <w:lang w:val="fr-FR"/>
        </w:rPr>
        <w:t>espoir</w:t>
      </w:r>
      <w:r w:rsidR="0057077F">
        <w:rPr>
          <w:rFonts w:ascii="Arial" w:hAnsi="Arial" w:cs="Arial"/>
          <w:sz w:val="22"/>
          <w:szCs w:val="22"/>
          <w:lang w:val="fr-FR"/>
        </w:rPr>
        <w:t xml:space="preserve"> (la balance pour l’économie globale étant positive et valant 16,8 points)</w:t>
      </w:r>
      <w:r w:rsidRPr="003A701D">
        <w:rPr>
          <w:rFonts w:ascii="Arial" w:hAnsi="Arial" w:cs="Arial"/>
          <w:sz w:val="22"/>
          <w:szCs w:val="22"/>
          <w:lang w:val="fr-FR"/>
        </w:rPr>
        <w:t xml:space="preserve">, </w:t>
      </w:r>
      <w:r w:rsidR="00BC589E">
        <w:rPr>
          <w:rFonts w:ascii="Arial" w:hAnsi="Arial" w:cs="Arial"/>
          <w:sz w:val="22"/>
          <w:szCs w:val="22"/>
          <w:lang w:val="fr-FR"/>
        </w:rPr>
        <w:t xml:space="preserve">et ce </w:t>
      </w:r>
      <w:r w:rsidRPr="003A701D">
        <w:rPr>
          <w:rFonts w:ascii="Arial" w:hAnsi="Arial" w:cs="Arial"/>
          <w:sz w:val="22"/>
          <w:szCs w:val="22"/>
          <w:lang w:val="fr-FR"/>
        </w:rPr>
        <w:t>particulièrement dans le secteur des services</w:t>
      </w:r>
      <w:r w:rsidR="0057077F">
        <w:rPr>
          <w:rFonts w:ascii="Arial" w:hAnsi="Arial" w:cs="Arial"/>
          <w:sz w:val="22"/>
          <w:szCs w:val="22"/>
          <w:lang w:val="fr-FR"/>
        </w:rPr>
        <w:t xml:space="preserve"> (avec une balance nette de 20,8 points)</w:t>
      </w:r>
      <w:r w:rsidR="006B666A">
        <w:rPr>
          <w:rFonts w:ascii="Arial" w:hAnsi="Arial" w:cs="Arial"/>
          <w:sz w:val="22"/>
          <w:szCs w:val="22"/>
          <w:lang w:val="fr-FR"/>
        </w:rPr>
        <w:t>, alors que les</w:t>
      </w:r>
      <w:r w:rsidR="006B666A" w:rsidRPr="006B666A">
        <w:rPr>
          <w:rFonts w:ascii="Arial" w:hAnsi="Arial" w:cs="Arial"/>
          <w:sz w:val="22"/>
          <w:szCs w:val="22"/>
          <w:lang w:val="fr-FR"/>
        </w:rPr>
        <w:t xml:space="preserve"> perspectives </w:t>
      </w:r>
      <w:r w:rsidR="006B666A">
        <w:rPr>
          <w:rFonts w:ascii="Arial" w:hAnsi="Arial" w:cs="Arial"/>
          <w:sz w:val="22"/>
          <w:szCs w:val="22"/>
          <w:lang w:val="fr-FR"/>
        </w:rPr>
        <w:t xml:space="preserve">sont </w:t>
      </w:r>
      <w:r w:rsidR="006B666A" w:rsidRPr="006B666A">
        <w:rPr>
          <w:rFonts w:ascii="Arial" w:hAnsi="Arial" w:cs="Arial"/>
          <w:sz w:val="22"/>
          <w:szCs w:val="22"/>
          <w:lang w:val="fr-FR"/>
        </w:rPr>
        <w:t>plus mitigée</w:t>
      </w:r>
      <w:r w:rsidR="00F06DA7">
        <w:rPr>
          <w:rFonts w:ascii="Arial" w:hAnsi="Arial" w:cs="Arial"/>
          <w:sz w:val="22"/>
          <w:szCs w:val="22"/>
          <w:lang w:val="fr-FR"/>
        </w:rPr>
        <w:t>s dans l’industrie manufacturière</w:t>
      </w:r>
      <w:r w:rsidR="0057077F">
        <w:rPr>
          <w:rFonts w:ascii="Arial" w:hAnsi="Arial" w:cs="Arial"/>
          <w:sz w:val="22"/>
          <w:szCs w:val="22"/>
          <w:lang w:val="fr-FR"/>
        </w:rPr>
        <w:t xml:space="preserve"> où la </w:t>
      </w:r>
      <w:r w:rsidR="0057077F" w:rsidRPr="0057077F">
        <w:rPr>
          <w:rFonts w:ascii="Arial" w:hAnsi="Arial" w:cs="Arial"/>
          <w:sz w:val="22"/>
          <w:szCs w:val="22"/>
          <w:lang w:val="fr-FR"/>
        </w:rPr>
        <w:t>balance nette</w:t>
      </w:r>
      <w:r w:rsidR="0057077F">
        <w:rPr>
          <w:rFonts w:ascii="Arial" w:hAnsi="Arial" w:cs="Arial"/>
          <w:sz w:val="22"/>
          <w:szCs w:val="22"/>
          <w:lang w:val="fr-FR"/>
        </w:rPr>
        <w:t xml:space="preserve"> s’élève à </w:t>
      </w:r>
      <w:r w:rsidR="0057077F" w:rsidRPr="0057077F">
        <w:rPr>
          <w:rFonts w:ascii="Arial" w:hAnsi="Arial" w:cs="Arial"/>
          <w:sz w:val="22"/>
          <w:szCs w:val="22"/>
          <w:lang w:val="fr-FR"/>
        </w:rPr>
        <w:t>8,1 points</w:t>
      </w:r>
      <w:r w:rsidR="006B666A">
        <w:rPr>
          <w:rFonts w:ascii="Arial" w:hAnsi="Arial" w:cs="Arial"/>
          <w:sz w:val="22"/>
          <w:szCs w:val="22"/>
          <w:lang w:val="fr-FR"/>
        </w:rPr>
        <w:t>. P</w:t>
      </w:r>
      <w:r w:rsidR="006B666A" w:rsidRPr="006B666A">
        <w:rPr>
          <w:rFonts w:ascii="Arial" w:hAnsi="Arial" w:cs="Arial"/>
          <w:sz w:val="22"/>
          <w:szCs w:val="22"/>
          <w:lang w:val="fr-FR"/>
        </w:rPr>
        <w:t>lus de la moitié des entreprises des deux secteurs indiquent une stabilisation de leur chiffre d’affaires en 201</w:t>
      </w:r>
      <w:r w:rsidR="006B666A">
        <w:rPr>
          <w:rFonts w:ascii="Arial" w:hAnsi="Arial" w:cs="Arial"/>
          <w:sz w:val="22"/>
          <w:szCs w:val="22"/>
          <w:lang w:val="fr-FR"/>
        </w:rPr>
        <w:t>2</w:t>
      </w:r>
      <w:r w:rsidR="006B666A" w:rsidRPr="006B666A">
        <w:rPr>
          <w:rFonts w:ascii="Arial" w:hAnsi="Arial" w:cs="Arial"/>
          <w:sz w:val="22"/>
          <w:szCs w:val="22"/>
          <w:lang w:val="fr-FR"/>
        </w:rPr>
        <w:t>.</w:t>
      </w:r>
    </w:p>
    <w:p w:rsidR="004A07E6" w:rsidRPr="003A701D" w:rsidRDefault="004A07E6" w:rsidP="00634ABE">
      <w:pPr>
        <w:jc w:val="both"/>
        <w:rPr>
          <w:rFonts w:ascii="Arial" w:hAnsi="Arial" w:cs="Arial"/>
          <w:sz w:val="22"/>
          <w:szCs w:val="22"/>
          <w:lang w:val="fr-FR"/>
        </w:rPr>
      </w:pPr>
    </w:p>
    <w:p w:rsidR="00625B61" w:rsidRPr="009109B9" w:rsidRDefault="009109B9" w:rsidP="00634ABE">
      <w:pPr>
        <w:jc w:val="both"/>
        <w:rPr>
          <w:rFonts w:ascii="Arial" w:hAnsi="Arial" w:cs="Arial"/>
          <w:sz w:val="22"/>
          <w:szCs w:val="22"/>
          <w:lang w:val="fr-BE"/>
        </w:rPr>
      </w:pPr>
      <w:r w:rsidRPr="009109B9">
        <w:rPr>
          <w:rFonts w:ascii="Arial" w:hAnsi="Arial" w:cs="Arial"/>
          <w:sz w:val="22"/>
          <w:szCs w:val="22"/>
          <w:lang w:val="fr-BE"/>
        </w:rPr>
        <w:t xml:space="preserve">Avec une balance nette atteignant 30 points, les firmes exportatrices affichent </w:t>
      </w:r>
      <w:r>
        <w:rPr>
          <w:rFonts w:ascii="Arial" w:hAnsi="Arial" w:cs="Arial"/>
          <w:sz w:val="22"/>
          <w:szCs w:val="22"/>
          <w:lang w:val="fr-BE"/>
        </w:rPr>
        <w:t>des</w:t>
      </w:r>
      <w:r w:rsidRPr="009109B9">
        <w:rPr>
          <w:rFonts w:ascii="Arial" w:hAnsi="Arial" w:cs="Arial"/>
          <w:sz w:val="22"/>
          <w:szCs w:val="22"/>
          <w:lang w:val="fr-BE"/>
        </w:rPr>
        <w:t xml:space="preserve"> opinion</w:t>
      </w:r>
      <w:r>
        <w:rPr>
          <w:rFonts w:ascii="Arial" w:hAnsi="Arial" w:cs="Arial"/>
          <w:sz w:val="22"/>
          <w:szCs w:val="22"/>
          <w:lang w:val="fr-BE"/>
        </w:rPr>
        <w:t>s</w:t>
      </w:r>
      <w:r w:rsidRPr="009109B9">
        <w:rPr>
          <w:rFonts w:ascii="Arial" w:hAnsi="Arial" w:cs="Arial"/>
          <w:sz w:val="22"/>
          <w:szCs w:val="22"/>
          <w:lang w:val="fr-BE"/>
        </w:rPr>
        <w:t xml:space="preserve"> plus favorable</w:t>
      </w:r>
      <w:r>
        <w:rPr>
          <w:rFonts w:ascii="Arial" w:hAnsi="Arial" w:cs="Arial"/>
          <w:sz w:val="22"/>
          <w:szCs w:val="22"/>
          <w:lang w:val="fr-BE"/>
        </w:rPr>
        <w:t>s</w:t>
      </w:r>
      <w:r w:rsidRPr="009109B9">
        <w:rPr>
          <w:rFonts w:ascii="Arial" w:hAnsi="Arial" w:cs="Arial"/>
          <w:sz w:val="22"/>
          <w:szCs w:val="22"/>
          <w:lang w:val="fr-BE"/>
        </w:rPr>
        <w:t xml:space="preserve"> que </w:t>
      </w:r>
      <w:r w:rsidR="00EA7E08">
        <w:rPr>
          <w:rFonts w:ascii="Arial" w:hAnsi="Arial" w:cs="Arial"/>
          <w:sz w:val="22"/>
          <w:szCs w:val="22"/>
          <w:lang w:val="fr-BE"/>
        </w:rPr>
        <w:t>les</w:t>
      </w:r>
      <w:r w:rsidRPr="009109B9">
        <w:rPr>
          <w:rFonts w:ascii="Arial" w:hAnsi="Arial" w:cs="Arial"/>
          <w:sz w:val="22"/>
          <w:szCs w:val="22"/>
          <w:lang w:val="fr-BE"/>
        </w:rPr>
        <w:t xml:space="preserve"> entreprises dont le Luxembourg constitue le seul marché, </w:t>
      </w:r>
      <w:r w:rsidR="00EA7E08">
        <w:rPr>
          <w:rFonts w:ascii="Arial" w:hAnsi="Arial" w:cs="Arial"/>
          <w:sz w:val="22"/>
          <w:szCs w:val="22"/>
          <w:lang w:val="fr-BE"/>
        </w:rPr>
        <w:t>pour lesquelles la</w:t>
      </w:r>
      <w:r w:rsidRPr="009109B9">
        <w:rPr>
          <w:rFonts w:ascii="Arial" w:hAnsi="Arial" w:cs="Arial"/>
          <w:sz w:val="22"/>
          <w:szCs w:val="22"/>
          <w:lang w:val="fr-BE"/>
        </w:rPr>
        <w:t xml:space="preserve"> balance s’élève à 11 points.</w:t>
      </w:r>
    </w:p>
    <w:p w:rsidR="002154E9" w:rsidRPr="002154E9" w:rsidRDefault="002154E9" w:rsidP="00634ABE">
      <w:pPr>
        <w:jc w:val="both"/>
        <w:rPr>
          <w:rFonts w:ascii="Arial" w:hAnsi="Arial" w:cs="Arial"/>
          <w:sz w:val="22"/>
          <w:szCs w:val="22"/>
          <w:lang w:val="fr-BE"/>
        </w:rPr>
      </w:pPr>
    </w:p>
    <w:p w:rsidR="00A309BC" w:rsidRDefault="002154E9" w:rsidP="00634ABE">
      <w:pPr>
        <w:jc w:val="both"/>
        <w:rPr>
          <w:rFonts w:ascii="Arial" w:hAnsi="Arial" w:cs="Arial"/>
          <w:b/>
          <w:sz w:val="22"/>
          <w:szCs w:val="22"/>
          <w:lang w:val="fr-BE"/>
        </w:rPr>
      </w:pPr>
      <w:r>
        <w:rPr>
          <w:rFonts w:ascii="Arial" w:hAnsi="Arial" w:cs="Arial"/>
          <w:sz w:val="22"/>
          <w:szCs w:val="22"/>
          <w:lang w:val="fr-BE"/>
        </w:rPr>
        <w:t>Loin</w:t>
      </w:r>
      <w:r w:rsidR="00625B61" w:rsidRPr="002154E9">
        <w:rPr>
          <w:rFonts w:ascii="Arial" w:hAnsi="Arial" w:cs="Arial"/>
          <w:sz w:val="22"/>
          <w:szCs w:val="22"/>
          <w:lang w:val="fr-BE"/>
        </w:rPr>
        <w:t xml:space="preserve"> de sombrer dans un catastrophisme outrancier, les entreprises</w:t>
      </w:r>
      <w:r>
        <w:rPr>
          <w:rFonts w:ascii="Arial" w:hAnsi="Arial" w:cs="Arial"/>
          <w:sz w:val="22"/>
          <w:szCs w:val="22"/>
          <w:lang w:val="fr-BE"/>
        </w:rPr>
        <w:t xml:space="preserve"> l</w:t>
      </w:r>
      <w:r w:rsidR="00625B61" w:rsidRPr="002154E9">
        <w:rPr>
          <w:rFonts w:ascii="Arial" w:hAnsi="Arial" w:cs="Arial"/>
          <w:sz w:val="22"/>
          <w:szCs w:val="22"/>
          <w:lang w:val="fr-BE"/>
        </w:rPr>
        <w:t>uxembourgeoises espèrent pouvoir stabiliser leur activité dans une conjoncture mondiale marquée par la morosité.</w:t>
      </w:r>
      <w:r>
        <w:rPr>
          <w:rFonts w:ascii="Arial" w:hAnsi="Arial" w:cs="Arial"/>
          <w:sz w:val="22"/>
          <w:szCs w:val="22"/>
          <w:lang w:val="fr-BE"/>
        </w:rPr>
        <w:t xml:space="preserve"> Une condition nécessaire à la réalisation d’un tel scénario est que les biens e</w:t>
      </w:r>
      <w:r w:rsidR="00DA7386">
        <w:rPr>
          <w:rFonts w:ascii="Arial" w:hAnsi="Arial" w:cs="Arial"/>
          <w:sz w:val="22"/>
          <w:szCs w:val="22"/>
          <w:lang w:val="fr-BE"/>
        </w:rPr>
        <w:t>t</w:t>
      </w:r>
      <w:r>
        <w:rPr>
          <w:rFonts w:ascii="Arial" w:hAnsi="Arial" w:cs="Arial"/>
          <w:sz w:val="22"/>
          <w:szCs w:val="22"/>
          <w:lang w:val="fr-BE"/>
        </w:rPr>
        <w:t xml:space="preserve"> services </w:t>
      </w:r>
      <w:r>
        <w:rPr>
          <w:rFonts w:ascii="Arial" w:hAnsi="Arial" w:cs="Arial"/>
          <w:sz w:val="22"/>
          <w:szCs w:val="22"/>
          <w:lang w:val="fr-BE"/>
        </w:rPr>
        <w:lastRenderedPageBreak/>
        <w:t>luxembourgeois à écouler</w:t>
      </w:r>
      <w:r w:rsidR="004B5B18">
        <w:rPr>
          <w:rFonts w:ascii="Arial" w:hAnsi="Arial" w:cs="Arial"/>
          <w:sz w:val="22"/>
          <w:szCs w:val="22"/>
          <w:lang w:val="fr-BE"/>
        </w:rPr>
        <w:t>,</w:t>
      </w:r>
      <w:r>
        <w:rPr>
          <w:rFonts w:ascii="Arial" w:hAnsi="Arial" w:cs="Arial"/>
          <w:sz w:val="22"/>
          <w:szCs w:val="22"/>
          <w:lang w:val="fr-BE"/>
        </w:rPr>
        <w:t xml:space="preserve"> sur les marchés étrangers</w:t>
      </w:r>
      <w:r w:rsidR="004B5B18">
        <w:rPr>
          <w:rFonts w:ascii="Arial" w:hAnsi="Arial" w:cs="Arial"/>
          <w:sz w:val="22"/>
          <w:szCs w:val="22"/>
          <w:lang w:val="fr-BE"/>
        </w:rPr>
        <w:t>,</w:t>
      </w:r>
      <w:r>
        <w:rPr>
          <w:rFonts w:ascii="Arial" w:hAnsi="Arial" w:cs="Arial"/>
          <w:sz w:val="22"/>
          <w:szCs w:val="22"/>
          <w:lang w:val="fr-BE"/>
        </w:rPr>
        <w:t xml:space="preserve"> restent compétitifs dans un contexte concurrentiel de plus en plus </w:t>
      </w:r>
      <w:r w:rsidRPr="00572267">
        <w:rPr>
          <w:rFonts w:ascii="Arial" w:hAnsi="Arial" w:cs="Arial"/>
          <w:sz w:val="22"/>
          <w:szCs w:val="22"/>
          <w:lang w:val="fr-BE"/>
        </w:rPr>
        <w:t>aigu</w:t>
      </w:r>
      <w:r>
        <w:rPr>
          <w:rFonts w:ascii="Arial" w:hAnsi="Arial" w:cs="Arial"/>
          <w:sz w:val="22"/>
          <w:szCs w:val="22"/>
          <w:lang w:val="fr-BE"/>
        </w:rPr>
        <w:t>.</w:t>
      </w:r>
    </w:p>
    <w:p w:rsidR="008127B0" w:rsidRDefault="008127B0" w:rsidP="00634ABE">
      <w:pPr>
        <w:jc w:val="both"/>
        <w:rPr>
          <w:rFonts w:ascii="Arial" w:hAnsi="Arial" w:cs="Arial"/>
          <w:b/>
          <w:sz w:val="22"/>
          <w:szCs w:val="22"/>
          <w:lang w:val="fr-BE"/>
        </w:rPr>
      </w:pPr>
    </w:p>
    <w:p w:rsidR="008127B0" w:rsidRDefault="00CF1B26" w:rsidP="00634ABE">
      <w:pPr>
        <w:jc w:val="both"/>
        <w:rPr>
          <w:rFonts w:ascii="Arial" w:hAnsi="Arial" w:cs="Arial"/>
          <w:b/>
          <w:sz w:val="22"/>
          <w:szCs w:val="22"/>
          <w:lang w:val="fr-BE"/>
        </w:rPr>
      </w:pPr>
      <w:r w:rsidRPr="005C1A88">
        <w:rPr>
          <w:rFonts w:ascii="Arial" w:hAnsi="Arial" w:cs="Arial"/>
          <w:b/>
          <w:sz w:val="22"/>
          <w:szCs w:val="22"/>
          <w:lang w:val="fr-BE"/>
        </w:rPr>
        <w:t>3. Emploi</w:t>
      </w:r>
      <w:r w:rsidR="0084150C">
        <w:rPr>
          <w:rFonts w:ascii="Arial" w:hAnsi="Arial" w:cs="Arial"/>
          <w:kern w:val="1"/>
          <w:sz w:val="22"/>
          <w:lang w:val="fr-BE" w:eastAsia="ar-SA"/>
        </w:rPr>
        <w:t> </w:t>
      </w:r>
      <w:r w:rsidR="0084150C" w:rsidRPr="0084150C">
        <w:rPr>
          <w:rFonts w:ascii="Arial" w:hAnsi="Arial" w:cs="Arial"/>
          <w:b/>
          <w:kern w:val="1"/>
          <w:sz w:val="22"/>
          <w:lang w:val="fr-BE" w:eastAsia="ar-SA"/>
        </w:rPr>
        <w:t>:</w:t>
      </w:r>
      <w:r w:rsidR="0084150C">
        <w:rPr>
          <w:rFonts w:ascii="Arial" w:hAnsi="Arial" w:cs="Arial"/>
          <w:kern w:val="1"/>
          <w:sz w:val="22"/>
          <w:lang w:val="fr-BE" w:eastAsia="ar-SA"/>
        </w:rPr>
        <w:t xml:space="preserve"> </w:t>
      </w:r>
      <w:r w:rsidR="0084150C" w:rsidRPr="0084150C">
        <w:rPr>
          <w:rFonts w:ascii="Arial" w:hAnsi="Arial" w:cs="Arial"/>
          <w:b/>
          <w:sz w:val="22"/>
          <w:szCs w:val="22"/>
          <w:lang w:val="fr-BE"/>
        </w:rPr>
        <w:t>Un moteur qui risque de caler en 2012</w:t>
      </w:r>
    </w:p>
    <w:p w:rsidR="00A46744" w:rsidRDefault="00A46744" w:rsidP="00634ABE">
      <w:pPr>
        <w:jc w:val="both"/>
        <w:rPr>
          <w:rFonts w:ascii="Arial" w:hAnsi="Arial" w:cs="Arial"/>
          <w:sz w:val="22"/>
          <w:szCs w:val="22"/>
          <w:lang w:val="fr-FR"/>
        </w:rPr>
      </w:pPr>
    </w:p>
    <w:p w:rsidR="004A11DA" w:rsidRDefault="00572A20" w:rsidP="00634ABE">
      <w:pPr>
        <w:jc w:val="both"/>
        <w:rPr>
          <w:rFonts w:ascii="Arial" w:hAnsi="Arial" w:cs="Arial"/>
          <w:sz w:val="22"/>
          <w:szCs w:val="22"/>
          <w:lang w:val="fr-FR"/>
        </w:rPr>
      </w:pPr>
      <w:r>
        <w:rPr>
          <w:rFonts w:ascii="Arial" w:hAnsi="Arial" w:cs="Arial"/>
          <w:sz w:val="22"/>
          <w:szCs w:val="22"/>
          <w:lang w:val="fr-FR"/>
        </w:rPr>
        <w:t>Alors que l</w:t>
      </w:r>
      <w:r w:rsidRPr="00572A20">
        <w:rPr>
          <w:rFonts w:ascii="Arial" w:hAnsi="Arial" w:cs="Arial"/>
          <w:sz w:val="22"/>
          <w:szCs w:val="22"/>
          <w:lang w:val="fr-FR"/>
        </w:rPr>
        <w:t>es perspectives en matière d’évolution de l’emploi en 2012 au sein de l’économie sont positives</w:t>
      </w:r>
      <w:r w:rsidR="00E3462F">
        <w:rPr>
          <w:rFonts w:ascii="Arial" w:hAnsi="Arial" w:cs="Arial"/>
          <w:sz w:val="22"/>
          <w:szCs w:val="22"/>
          <w:lang w:val="fr-FR"/>
        </w:rPr>
        <w:t xml:space="preserve"> (balance de 8,1 points)</w:t>
      </w:r>
      <w:r>
        <w:rPr>
          <w:rFonts w:ascii="Arial" w:hAnsi="Arial" w:cs="Arial"/>
          <w:sz w:val="22"/>
          <w:szCs w:val="22"/>
          <w:lang w:val="fr-FR"/>
        </w:rPr>
        <w:t>, l</w:t>
      </w:r>
      <w:r w:rsidRPr="00572A20">
        <w:rPr>
          <w:rFonts w:ascii="Arial" w:hAnsi="Arial" w:cs="Arial"/>
          <w:sz w:val="22"/>
          <w:szCs w:val="22"/>
          <w:lang w:val="fr-FR"/>
        </w:rPr>
        <w:t>es prévisions diffèrent toutefois entre les chefs d’entreprises du secteur industriel</w:t>
      </w:r>
      <w:r w:rsidR="004A11DA">
        <w:rPr>
          <w:rFonts w:ascii="Arial" w:hAnsi="Arial" w:cs="Arial"/>
          <w:sz w:val="22"/>
          <w:szCs w:val="22"/>
          <w:lang w:val="fr-FR"/>
        </w:rPr>
        <w:t>, au sein duquel les anticipations sont plus pessimistes</w:t>
      </w:r>
      <w:r w:rsidR="00E3462F">
        <w:rPr>
          <w:rFonts w:ascii="Arial" w:hAnsi="Arial" w:cs="Arial"/>
          <w:sz w:val="22"/>
          <w:szCs w:val="22"/>
          <w:lang w:val="fr-FR"/>
        </w:rPr>
        <w:t xml:space="preserve"> (</w:t>
      </w:r>
      <w:r w:rsidR="006C575B">
        <w:rPr>
          <w:rFonts w:ascii="Arial" w:hAnsi="Arial" w:cs="Arial"/>
          <w:sz w:val="22"/>
          <w:szCs w:val="22"/>
          <w:lang w:val="fr-FR"/>
        </w:rPr>
        <w:t>se matérialisant</w:t>
      </w:r>
      <w:r w:rsidR="00E3462F">
        <w:rPr>
          <w:rFonts w:ascii="Arial" w:hAnsi="Arial" w:cs="Arial"/>
          <w:sz w:val="22"/>
          <w:szCs w:val="22"/>
          <w:lang w:val="fr-FR"/>
        </w:rPr>
        <w:t xml:space="preserve"> par une balance négative de </w:t>
      </w:r>
      <w:r w:rsidR="00F20588">
        <w:rPr>
          <w:rFonts w:ascii="Arial" w:hAnsi="Arial" w:cs="Arial"/>
          <w:sz w:val="22"/>
          <w:szCs w:val="22"/>
          <w:lang w:val="fr-FR"/>
        </w:rPr>
        <w:t>-1,9 point</w:t>
      </w:r>
      <w:r w:rsidR="00E3462F">
        <w:rPr>
          <w:rFonts w:ascii="Arial" w:hAnsi="Arial" w:cs="Arial"/>
          <w:sz w:val="22"/>
          <w:szCs w:val="22"/>
          <w:lang w:val="fr-FR"/>
        </w:rPr>
        <w:t>)</w:t>
      </w:r>
      <w:r w:rsidR="004A11DA">
        <w:rPr>
          <w:rFonts w:ascii="Arial" w:hAnsi="Arial" w:cs="Arial"/>
          <w:sz w:val="22"/>
          <w:szCs w:val="22"/>
          <w:lang w:val="fr-FR"/>
        </w:rPr>
        <w:t>,</w:t>
      </w:r>
      <w:r w:rsidRPr="00572A20">
        <w:rPr>
          <w:rFonts w:ascii="Arial" w:hAnsi="Arial" w:cs="Arial"/>
          <w:sz w:val="22"/>
          <w:szCs w:val="22"/>
          <w:lang w:val="fr-FR"/>
        </w:rPr>
        <w:t xml:space="preserve"> et ceux du secteur des services</w:t>
      </w:r>
      <w:r w:rsidR="00E3462F">
        <w:rPr>
          <w:rFonts w:ascii="Arial" w:hAnsi="Arial" w:cs="Arial"/>
          <w:sz w:val="22"/>
          <w:szCs w:val="22"/>
          <w:lang w:val="fr-FR"/>
        </w:rPr>
        <w:t>, au sein duquel la balance nette vaut 12,8 points</w:t>
      </w:r>
      <w:r w:rsidRPr="00572A20">
        <w:rPr>
          <w:rFonts w:ascii="Arial" w:hAnsi="Arial" w:cs="Arial"/>
          <w:sz w:val="22"/>
          <w:szCs w:val="22"/>
          <w:lang w:val="fr-FR"/>
        </w:rPr>
        <w:t xml:space="preserve">. </w:t>
      </w:r>
      <w:r w:rsidR="00F211B1">
        <w:rPr>
          <w:rFonts w:ascii="Arial" w:hAnsi="Arial" w:cs="Arial"/>
          <w:sz w:val="22"/>
          <w:szCs w:val="22"/>
          <w:lang w:val="fr-FR"/>
        </w:rPr>
        <w:t>Cette évolution est d’autant plus inquiétante que le Luxembourg fait face, depuis un certain nombre d’année</w:t>
      </w:r>
      <w:r w:rsidR="00693789">
        <w:rPr>
          <w:rFonts w:ascii="Arial" w:hAnsi="Arial" w:cs="Arial"/>
          <w:sz w:val="22"/>
          <w:szCs w:val="22"/>
          <w:lang w:val="fr-FR"/>
        </w:rPr>
        <w:t>s</w:t>
      </w:r>
      <w:r w:rsidR="00F211B1">
        <w:rPr>
          <w:rFonts w:ascii="Arial" w:hAnsi="Arial" w:cs="Arial"/>
          <w:sz w:val="22"/>
          <w:szCs w:val="22"/>
          <w:lang w:val="fr-FR"/>
        </w:rPr>
        <w:t xml:space="preserve">, à une véritable désindustrialisation sous toile de fonds d’effritement de la compétitivité-coût et </w:t>
      </w:r>
      <w:r w:rsidR="00E3462F">
        <w:rPr>
          <w:rFonts w:ascii="Arial" w:hAnsi="Arial" w:cs="Arial"/>
          <w:sz w:val="22"/>
          <w:szCs w:val="22"/>
          <w:lang w:val="fr-FR"/>
        </w:rPr>
        <w:t>-</w:t>
      </w:r>
      <w:r w:rsidR="00F211B1">
        <w:rPr>
          <w:rFonts w:ascii="Arial" w:hAnsi="Arial" w:cs="Arial"/>
          <w:sz w:val="22"/>
          <w:szCs w:val="22"/>
          <w:lang w:val="fr-FR"/>
        </w:rPr>
        <w:t>prix de l’économie nationale par rapport aux principaux pays concurrents.</w:t>
      </w:r>
    </w:p>
    <w:p w:rsidR="004A11DA" w:rsidRDefault="004A11DA" w:rsidP="00634ABE">
      <w:pPr>
        <w:jc w:val="both"/>
        <w:rPr>
          <w:rFonts w:ascii="Arial" w:hAnsi="Arial" w:cs="Arial"/>
          <w:sz w:val="22"/>
          <w:szCs w:val="22"/>
          <w:lang w:val="fr-FR"/>
        </w:rPr>
      </w:pPr>
    </w:p>
    <w:p w:rsidR="000E5159" w:rsidRDefault="007148D2" w:rsidP="00634ABE">
      <w:pPr>
        <w:jc w:val="both"/>
        <w:rPr>
          <w:rFonts w:ascii="Arial" w:hAnsi="Arial" w:cs="Arial"/>
          <w:sz w:val="22"/>
          <w:szCs w:val="22"/>
          <w:lang w:val="fr-FR"/>
        </w:rPr>
      </w:pPr>
      <w:r>
        <w:rPr>
          <w:rFonts w:ascii="Arial" w:hAnsi="Arial" w:cs="Arial"/>
          <w:sz w:val="22"/>
          <w:szCs w:val="22"/>
          <w:lang w:val="fr-FR"/>
        </w:rPr>
        <w:t>L</w:t>
      </w:r>
      <w:r w:rsidR="00572A20" w:rsidRPr="00572A20">
        <w:rPr>
          <w:rFonts w:ascii="Arial" w:hAnsi="Arial" w:cs="Arial"/>
          <w:sz w:val="22"/>
          <w:szCs w:val="22"/>
          <w:lang w:val="fr-FR"/>
        </w:rPr>
        <w:t xml:space="preserve">es résultats se doivent </w:t>
      </w:r>
      <w:r w:rsidR="00693789">
        <w:rPr>
          <w:rFonts w:ascii="Arial" w:hAnsi="Arial" w:cs="Arial"/>
          <w:sz w:val="22"/>
          <w:szCs w:val="22"/>
          <w:lang w:val="fr-FR"/>
        </w:rPr>
        <w:t xml:space="preserve">néanmoins </w:t>
      </w:r>
      <w:r w:rsidR="00572A20" w:rsidRPr="00572A20">
        <w:rPr>
          <w:rFonts w:ascii="Arial" w:hAnsi="Arial" w:cs="Arial"/>
          <w:sz w:val="22"/>
          <w:szCs w:val="22"/>
          <w:lang w:val="fr-FR"/>
        </w:rPr>
        <w:t xml:space="preserve">d’être quelque peu </w:t>
      </w:r>
      <w:r>
        <w:rPr>
          <w:rFonts w:ascii="Arial" w:hAnsi="Arial" w:cs="Arial"/>
          <w:sz w:val="22"/>
          <w:szCs w:val="22"/>
          <w:lang w:val="fr-FR"/>
        </w:rPr>
        <w:t xml:space="preserve">relativisés en raison </w:t>
      </w:r>
      <w:r w:rsidR="00572A20" w:rsidRPr="00572A20">
        <w:rPr>
          <w:rFonts w:ascii="Arial" w:hAnsi="Arial" w:cs="Arial"/>
          <w:sz w:val="22"/>
          <w:szCs w:val="22"/>
          <w:lang w:val="fr-FR"/>
        </w:rPr>
        <w:t>de la part importante d’entreprises qui estiment que l’emploi restera stable en 2012</w:t>
      </w:r>
      <w:r>
        <w:rPr>
          <w:rFonts w:ascii="Arial" w:hAnsi="Arial" w:cs="Arial"/>
          <w:sz w:val="22"/>
          <w:szCs w:val="22"/>
          <w:lang w:val="fr-FR"/>
        </w:rPr>
        <w:t xml:space="preserve"> au sein des deux secteurs</w:t>
      </w:r>
      <w:r w:rsidR="00536DAA">
        <w:rPr>
          <w:rFonts w:ascii="Arial" w:hAnsi="Arial" w:cs="Arial"/>
          <w:sz w:val="22"/>
          <w:szCs w:val="22"/>
          <w:lang w:val="fr-FR"/>
        </w:rPr>
        <w:t> : 75,5% dans l’industrie et 68,1% dans les services</w:t>
      </w:r>
      <w:r w:rsidR="00572A20" w:rsidRPr="00572A20">
        <w:rPr>
          <w:rFonts w:ascii="Arial" w:hAnsi="Arial" w:cs="Arial"/>
          <w:sz w:val="22"/>
          <w:szCs w:val="22"/>
          <w:lang w:val="fr-FR"/>
        </w:rPr>
        <w:t>.</w:t>
      </w:r>
      <w:r>
        <w:rPr>
          <w:rFonts w:ascii="Arial" w:hAnsi="Arial" w:cs="Arial"/>
          <w:sz w:val="22"/>
          <w:szCs w:val="22"/>
          <w:lang w:val="fr-FR"/>
        </w:rPr>
        <w:t xml:space="preserve"> </w:t>
      </w:r>
    </w:p>
    <w:p w:rsidR="00CF1B26" w:rsidRDefault="00CF1B26" w:rsidP="00634ABE">
      <w:pPr>
        <w:jc w:val="both"/>
        <w:rPr>
          <w:rFonts w:ascii="Arial" w:hAnsi="Arial" w:cs="Arial"/>
          <w:b/>
          <w:sz w:val="22"/>
          <w:szCs w:val="22"/>
          <w:lang w:val="fr-FR"/>
        </w:rPr>
      </w:pPr>
    </w:p>
    <w:p w:rsidR="008D0743" w:rsidRDefault="00E62FC1" w:rsidP="00634ABE">
      <w:pPr>
        <w:jc w:val="both"/>
        <w:rPr>
          <w:lang w:val="fr-LU"/>
        </w:rPr>
      </w:pPr>
      <w:r w:rsidRPr="0068557B">
        <w:rPr>
          <w:rFonts w:ascii="Arial" w:hAnsi="Arial" w:cs="Arial"/>
          <w:sz w:val="22"/>
          <w:szCs w:val="22"/>
          <w:lang w:val="fr-FR"/>
        </w:rPr>
        <w:t>Par rapport aux taux de croissance historique de l’emploi, m</w:t>
      </w:r>
      <w:r w:rsidR="0068557B">
        <w:rPr>
          <w:rFonts w:ascii="Arial" w:hAnsi="Arial" w:cs="Arial"/>
          <w:sz w:val="22"/>
          <w:szCs w:val="22"/>
          <w:lang w:val="fr-FR"/>
        </w:rPr>
        <w:t>ême une relative stagnation de l</w:t>
      </w:r>
      <w:r w:rsidRPr="0068557B">
        <w:rPr>
          <w:rFonts w:ascii="Arial" w:hAnsi="Arial" w:cs="Arial"/>
          <w:sz w:val="22"/>
          <w:szCs w:val="22"/>
          <w:lang w:val="fr-FR"/>
        </w:rPr>
        <w:t>’emploi a</w:t>
      </w:r>
      <w:r w:rsidR="00DE1080" w:rsidRPr="0068557B">
        <w:rPr>
          <w:rFonts w:ascii="Arial" w:hAnsi="Arial" w:cs="Arial"/>
          <w:sz w:val="22"/>
          <w:szCs w:val="22"/>
          <w:lang w:val="fr-FR"/>
        </w:rPr>
        <w:t>ura</w:t>
      </w:r>
      <w:r w:rsidRPr="0068557B">
        <w:rPr>
          <w:rFonts w:ascii="Arial" w:hAnsi="Arial" w:cs="Arial"/>
          <w:sz w:val="22"/>
          <w:szCs w:val="22"/>
          <w:lang w:val="fr-FR"/>
        </w:rPr>
        <w:t xml:space="preserve"> comme conséquence de faire apparaître des déséquilibres manifestes au niveau de financement du modèle social, tout comme elle </w:t>
      </w:r>
      <w:r w:rsidR="0068557B" w:rsidRPr="0068557B">
        <w:rPr>
          <w:rFonts w:ascii="Arial" w:hAnsi="Arial" w:cs="Arial"/>
          <w:sz w:val="22"/>
          <w:szCs w:val="22"/>
          <w:lang w:val="fr-FR"/>
        </w:rPr>
        <w:t>contribuera à</w:t>
      </w:r>
      <w:r w:rsidRPr="0068557B">
        <w:rPr>
          <w:rFonts w:ascii="Arial" w:hAnsi="Arial" w:cs="Arial"/>
          <w:sz w:val="22"/>
          <w:szCs w:val="22"/>
          <w:lang w:val="fr-FR"/>
        </w:rPr>
        <w:t xml:space="preserve"> une augmentation </w:t>
      </w:r>
      <w:r w:rsidR="0068557B" w:rsidRPr="0068557B">
        <w:rPr>
          <w:rFonts w:ascii="Arial" w:hAnsi="Arial" w:cs="Arial"/>
          <w:sz w:val="22"/>
          <w:szCs w:val="22"/>
          <w:lang w:val="fr-FR"/>
        </w:rPr>
        <w:t>continue</w:t>
      </w:r>
      <w:r w:rsidRPr="0068557B">
        <w:rPr>
          <w:rFonts w:ascii="Arial" w:hAnsi="Arial" w:cs="Arial"/>
          <w:sz w:val="22"/>
          <w:szCs w:val="22"/>
          <w:lang w:val="fr-FR"/>
        </w:rPr>
        <w:t xml:space="preserve"> du chômage.</w:t>
      </w:r>
      <w:r w:rsidR="008D0743" w:rsidRPr="008D0743">
        <w:rPr>
          <w:lang w:val="fr-LU"/>
        </w:rPr>
        <w:t xml:space="preserve"> </w:t>
      </w:r>
    </w:p>
    <w:p w:rsidR="008D0743" w:rsidRDefault="008D0743" w:rsidP="00634ABE">
      <w:pPr>
        <w:jc w:val="both"/>
        <w:rPr>
          <w:lang w:val="fr-LU"/>
        </w:rPr>
      </w:pPr>
    </w:p>
    <w:p w:rsidR="00E62FC1" w:rsidRDefault="008D0743" w:rsidP="00634ABE">
      <w:pPr>
        <w:jc w:val="both"/>
        <w:rPr>
          <w:rFonts w:ascii="Arial" w:hAnsi="Arial" w:cs="Arial"/>
          <w:sz w:val="22"/>
          <w:szCs w:val="22"/>
          <w:lang w:val="fr-FR"/>
        </w:rPr>
      </w:pPr>
      <w:r w:rsidRPr="008D0743">
        <w:rPr>
          <w:rFonts w:ascii="Arial" w:hAnsi="Arial" w:cs="Arial"/>
          <w:sz w:val="22"/>
          <w:szCs w:val="22"/>
          <w:lang w:val="fr-FR"/>
        </w:rPr>
        <w:t>Les anticipations des entreprises pour les années 2010 et 2011 apparaissent en accord parfait avec la réalité économique. Si cela s’avère encore être le cas pour 2012, le taux de création d’emplois devrait connaître, au mieux, une certaine stabilité.</w:t>
      </w:r>
    </w:p>
    <w:p w:rsidR="008D0743" w:rsidRDefault="008D0743" w:rsidP="00634ABE">
      <w:pPr>
        <w:jc w:val="both"/>
        <w:rPr>
          <w:rFonts w:ascii="Arial" w:hAnsi="Arial" w:cs="Arial"/>
          <w:sz w:val="22"/>
          <w:szCs w:val="22"/>
          <w:lang w:val="fr-FR"/>
        </w:rPr>
      </w:pPr>
    </w:p>
    <w:p w:rsidR="00820357" w:rsidRPr="008D0743" w:rsidRDefault="008D0743" w:rsidP="00634ABE">
      <w:pPr>
        <w:jc w:val="both"/>
        <w:rPr>
          <w:rFonts w:ascii="Arial" w:hAnsi="Arial" w:cs="Arial"/>
          <w:sz w:val="22"/>
          <w:szCs w:val="22"/>
          <w:lang w:val="fr-FR"/>
        </w:rPr>
      </w:pPr>
      <w:r>
        <w:rPr>
          <w:rFonts w:ascii="Arial" w:hAnsi="Arial" w:cs="Arial"/>
          <w:sz w:val="22"/>
          <w:szCs w:val="22"/>
          <w:lang w:val="fr-FR"/>
        </w:rPr>
        <w:t>Graphique 2 </w:t>
      </w:r>
      <w:r w:rsidRPr="008D0743">
        <w:rPr>
          <w:rFonts w:ascii="Arial" w:hAnsi="Arial" w:cs="Arial"/>
          <w:sz w:val="22"/>
          <w:szCs w:val="22"/>
          <w:lang w:val="fr-FR"/>
        </w:rPr>
        <w:t>:</w:t>
      </w:r>
      <w:r w:rsidRPr="008D0743">
        <w:rPr>
          <w:rFonts w:ascii="Arial" w:hAnsi="Arial" w:cs="Arial"/>
          <w:kern w:val="1"/>
          <w:sz w:val="22"/>
          <w:lang w:val="fr-FR" w:eastAsia="ar-SA"/>
        </w:rPr>
        <w:t xml:space="preserve"> </w:t>
      </w:r>
      <w:r w:rsidRPr="008D0743">
        <w:rPr>
          <w:rFonts w:ascii="Arial" w:hAnsi="Arial" w:cs="Arial"/>
          <w:sz w:val="22"/>
          <w:szCs w:val="22"/>
          <w:lang w:val="fr-FR"/>
        </w:rPr>
        <w:t>Evolution des balances relatives à l’emploi et du taux de création d’emplois</w:t>
      </w:r>
    </w:p>
    <w:p w:rsidR="008D0743" w:rsidRDefault="008D0743" w:rsidP="00634ABE">
      <w:pPr>
        <w:jc w:val="both"/>
        <w:rPr>
          <w:rFonts w:ascii="Arial" w:hAnsi="Arial" w:cs="Arial"/>
          <w:b/>
          <w:sz w:val="22"/>
          <w:szCs w:val="22"/>
          <w:lang w:val="fr-FR"/>
        </w:rPr>
      </w:pPr>
      <w:r w:rsidRPr="008D0743">
        <w:rPr>
          <w:rFonts w:ascii="Arial" w:hAnsi="Arial" w:cs="Arial"/>
          <w:b/>
          <w:noProof/>
          <w:sz w:val="22"/>
          <w:szCs w:val="22"/>
          <w:lang w:val="fr-LU" w:eastAsia="fr-LU"/>
        </w:rPr>
        <w:drawing>
          <wp:inline distT="0" distB="0" distL="0" distR="0">
            <wp:extent cx="5759450" cy="3024000"/>
            <wp:effectExtent l="19050" t="0" r="12700" b="4950"/>
            <wp:docPr id="1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D0743" w:rsidRPr="00CA4B3D" w:rsidRDefault="008D0743" w:rsidP="00634ABE">
      <w:pPr>
        <w:pStyle w:val="Heading2"/>
        <w:numPr>
          <w:ilvl w:val="0"/>
          <w:numId w:val="0"/>
        </w:numPr>
        <w:rPr>
          <w:b w:val="0"/>
          <w:sz w:val="18"/>
          <w:szCs w:val="18"/>
          <w:lang w:val="fr-LU"/>
        </w:rPr>
      </w:pPr>
      <w:r w:rsidRPr="00CA4B3D">
        <w:rPr>
          <w:b w:val="0"/>
          <w:sz w:val="18"/>
          <w:szCs w:val="18"/>
          <w:lang w:val="fr-LU"/>
        </w:rPr>
        <w:t xml:space="preserve">Sources : Comptes nationaux et prévisions </w:t>
      </w:r>
      <w:r>
        <w:rPr>
          <w:b w:val="0"/>
          <w:sz w:val="18"/>
          <w:szCs w:val="18"/>
          <w:lang w:val="fr-LU"/>
        </w:rPr>
        <w:t>d’automne de la Commission européenne</w:t>
      </w:r>
      <w:r w:rsidRPr="00CA4B3D">
        <w:rPr>
          <w:b w:val="0"/>
          <w:sz w:val="18"/>
          <w:szCs w:val="18"/>
          <w:lang w:val="fr-LU"/>
        </w:rPr>
        <w:t xml:space="preserve"> pour les taux de croissance ; Enquêtes Eurochambres pour les balances.</w:t>
      </w:r>
    </w:p>
    <w:p w:rsidR="008D0743" w:rsidRPr="008E2479" w:rsidRDefault="008D0743" w:rsidP="00634ABE">
      <w:pPr>
        <w:pStyle w:val="NBP"/>
      </w:pPr>
      <w:r w:rsidRPr="008E2479">
        <w:t xml:space="preserve">Remarque : Pour 2012, il s’agit de la balance relative aux prévisions, disponible dans l’EES2012. </w:t>
      </w:r>
    </w:p>
    <w:p w:rsidR="007370C7" w:rsidRPr="008D0743" w:rsidRDefault="007370C7" w:rsidP="00634ABE">
      <w:pPr>
        <w:jc w:val="both"/>
        <w:rPr>
          <w:rFonts w:ascii="Arial" w:hAnsi="Arial" w:cs="Arial"/>
          <w:sz w:val="22"/>
          <w:szCs w:val="22"/>
          <w:lang w:val="fr-LU"/>
        </w:rPr>
      </w:pPr>
    </w:p>
    <w:p w:rsidR="003B5745" w:rsidRDefault="00CF1B26" w:rsidP="00634ABE">
      <w:pPr>
        <w:jc w:val="both"/>
        <w:rPr>
          <w:rFonts w:ascii="Arial" w:hAnsi="Arial" w:cs="Arial"/>
          <w:b/>
          <w:sz w:val="22"/>
          <w:szCs w:val="22"/>
          <w:lang w:val="fr-FR"/>
        </w:rPr>
      </w:pPr>
      <w:r>
        <w:rPr>
          <w:rFonts w:ascii="Arial" w:hAnsi="Arial" w:cs="Arial"/>
          <w:b/>
          <w:sz w:val="22"/>
          <w:szCs w:val="22"/>
          <w:lang w:val="fr-BE"/>
        </w:rPr>
        <w:lastRenderedPageBreak/>
        <w:t>4. Investissements</w:t>
      </w:r>
      <w:r w:rsidR="008706AC">
        <w:rPr>
          <w:rFonts w:ascii="Arial" w:hAnsi="Arial" w:cs="Arial"/>
          <w:b/>
          <w:kern w:val="1"/>
          <w:sz w:val="22"/>
          <w:lang w:val="fr-FR" w:eastAsia="ar-SA"/>
        </w:rPr>
        <w:t xml:space="preserve"> : </w:t>
      </w:r>
      <w:r w:rsidR="008706AC" w:rsidRPr="008706AC">
        <w:rPr>
          <w:rFonts w:ascii="Arial" w:hAnsi="Arial" w:cs="Arial"/>
          <w:b/>
          <w:sz w:val="22"/>
          <w:szCs w:val="22"/>
          <w:lang w:val="fr-FR"/>
        </w:rPr>
        <w:t>Les hésitations d’aujourd’hui</w:t>
      </w:r>
      <w:r w:rsidR="0019288E">
        <w:rPr>
          <w:rFonts w:ascii="Arial" w:hAnsi="Arial" w:cs="Arial"/>
          <w:b/>
          <w:sz w:val="22"/>
          <w:szCs w:val="22"/>
          <w:lang w:val="fr-FR"/>
        </w:rPr>
        <w:t xml:space="preserve"> risquent de </w:t>
      </w:r>
      <w:r w:rsidR="008706AC" w:rsidRPr="008706AC">
        <w:rPr>
          <w:rFonts w:ascii="Arial" w:hAnsi="Arial" w:cs="Arial"/>
          <w:b/>
          <w:sz w:val="22"/>
          <w:szCs w:val="22"/>
          <w:lang w:val="fr-FR"/>
        </w:rPr>
        <w:t>frein</w:t>
      </w:r>
      <w:r w:rsidR="0019288E">
        <w:rPr>
          <w:rFonts w:ascii="Arial" w:hAnsi="Arial" w:cs="Arial"/>
          <w:b/>
          <w:sz w:val="22"/>
          <w:szCs w:val="22"/>
          <w:lang w:val="fr-FR"/>
        </w:rPr>
        <w:t>er</w:t>
      </w:r>
      <w:r w:rsidR="008706AC" w:rsidRPr="008706AC">
        <w:rPr>
          <w:rFonts w:ascii="Arial" w:hAnsi="Arial" w:cs="Arial"/>
          <w:b/>
          <w:sz w:val="22"/>
          <w:szCs w:val="22"/>
          <w:lang w:val="fr-FR"/>
        </w:rPr>
        <w:t xml:space="preserve"> la croissance de demain</w:t>
      </w:r>
    </w:p>
    <w:p w:rsidR="003B5745" w:rsidRPr="003B5745" w:rsidRDefault="003B5745" w:rsidP="00634ABE">
      <w:pPr>
        <w:jc w:val="both"/>
        <w:rPr>
          <w:rFonts w:ascii="Arial" w:hAnsi="Arial" w:cs="Arial"/>
          <w:b/>
          <w:sz w:val="22"/>
          <w:szCs w:val="22"/>
          <w:lang w:val="fr-FR"/>
        </w:rPr>
      </w:pPr>
    </w:p>
    <w:p w:rsidR="001F7686" w:rsidRPr="001F7686" w:rsidRDefault="003B5745" w:rsidP="00634ABE">
      <w:pPr>
        <w:jc w:val="both"/>
        <w:rPr>
          <w:rFonts w:ascii="Arial" w:hAnsi="Arial" w:cs="Arial"/>
          <w:sz w:val="22"/>
          <w:szCs w:val="22"/>
          <w:lang w:val="fr-BE"/>
        </w:rPr>
      </w:pPr>
      <w:r w:rsidRPr="003B5745">
        <w:rPr>
          <w:rFonts w:ascii="Arial" w:hAnsi="Arial" w:cs="Arial"/>
          <w:sz w:val="22"/>
          <w:szCs w:val="22"/>
          <w:lang w:val="fr-BE"/>
        </w:rPr>
        <w:t xml:space="preserve">Les </w:t>
      </w:r>
      <w:r w:rsidR="00264269" w:rsidRPr="003B5745">
        <w:rPr>
          <w:rFonts w:ascii="Arial" w:hAnsi="Arial" w:cs="Arial"/>
          <w:sz w:val="22"/>
          <w:szCs w:val="22"/>
          <w:lang w:val="fr-BE"/>
        </w:rPr>
        <w:t xml:space="preserve">entreprises </w:t>
      </w:r>
      <w:r w:rsidR="00A11934">
        <w:rPr>
          <w:rFonts w:ascii="Arial" w:hAnsi="Arial" w:cs="Arial"/>
          <w:sz w:val="22"/>
          <w:szCs w:val="22"/>
          <w:lang w:val="fr-BE"/>
        </w:rPr>
        <w:t>expriment une grande prudence s’agissant</w:t>
      </w:r>
      <w:r w:rsidR="00264269" w:rsidRPr="003B5745">
        <w:rPr>
          <w:rFonts w:ascii="Arial" w:hAnsi="Arial" w:cs="Arial"/>
          <w:sz w:val="22"/>
          <w:szCs w:val="22"/>
          <w:lang w:val="fr-BE"/>
        </w:rPr>
        <w:t xml:space="preserve"> des investissements en 2012</w:t>
      </w:r>
      <w:r w:rsidR="00A11934">
        <w:rPr>
          <w:rFonts w:ascii="Arial" w:hAnsi="Arial" w:cs="Arial"/>
          <w:sz w:val="22"/>
          <w:szCs w:val="22"/>
          <w:lang w:val="fr-BE"/>
        </w:rPr>
        <w:t>, ce</w:t>
      </w:r>
      <w:r w:rsidR="00264269" w:rsidRPr="003B5745">
        <w:rPr>
          <w:rFonts w:ascii="Arial" w:hAnsi="Arial" w:cs="Arial"/>
          <w:sz w:val="22"/>
          <w:szCs w:val="22"/>
          <w:lang w:val="fr-BE"/>
        </w:rPr>
        <w:t xml:space="preserve"> qui traduit leur méfiance en ce qui concerne la durabilité, voire la vigueur, de la reprise</w:t>
      </w:r>
      <w:r>
        <w:rPr>
          <w:rFonts w:ascii="Arial" w:hAnsi="Arial" w:cs="Arial"/>
          <w:sz w:val="22"/>
          <w:szCs w:val="22"/>
          <w:lang w:val="fr-BE"/>
        </w:rPr>
        <w:t xml:space="preserve">. </w:t>
      </w:r>
      <w:r w:rsidR="001F7686" w:rsidRPr="001F7686">
        <w:rPr>
          <w:rFonts w:ascii="Arial" w:hAnsi="Arial" w:cs="Arial"/>
          <w:sz w:val="22"/>
          <w:szCs w:val="22"/>
          <w:lang w:val="fr-BE"/>
        </w:rPr>
        <w:t>Il ressortait de l’EES2011 que seulement</w:t>
      </w:r>
      <w:r w:rsidR="001F7686">
        <w:rPr>
          <w:rFonts w:ascii="Arial" w:hAnsi="Arial" w:cs="Arial"/>
          <w:sz w:val="22"/>
          <w:szCs w:val="22"/>
          <w:lang w:val="fr-BE"/>
        </w:rPr>
        <w:t xml:space="preserve"> </w:t>
      </w:r>
      <w:r w:rsidR="0007527B">
        <w:rPr>
          <w:rFonts w:ascii="Arial" w:hAnsi="Arial" w:cs="Arial"/>
          <w:sz w:val="22"/>
          <w:szCs w:val="22"/>
          <w:lang w:val="fr-BE"/>
        </w:rPr>
        <w:t>22,7</w:t>
      </w:r>
      <w:r w:rsidR="001F7686" w:rsidRPr="001F7686">
        <w:rPr>
          <w:rFonts w:ascii="Arial" w:hAnsi="Arial" w:cs="Arial"/>
          <w:sz w:val="22"/>
          <w:szCs w:val="22"/>
          <w:lang w:val="fr-BE"/>
        </w:rPr>
        <w:t>% des entreprises avaient</w:t>
      </w:r>
      <w:r w:rsidR="001F7686">
        <w:rPr>
          <w:rFonts w:ascii="Arial" w:hAnsi="Arial" w:cs="Arial"/>
          <w:sz w:val="22"/>
          <w:szCs w:val="22"/>
          <w:lang w:val="fr-BE"/>
        </w:rPr>
        <w:t xml:space="preserve"> </w:t>
      </w:r>
      <w:r w:rsidR="001F7686" w:rsidRPr="001F7686">
        <w:rPr>
          <w:rFonts w:ascii="Arial" w:hAnsi="Arial" w:cs="Arial"/>
          <w:sz w:val="22"/>
          <w:szCs w:val="22"/>
          <w:lang w:val="fr-BE"/>
        </w:rPr>
        <w:t>l’intention d’accroître leurs investissements</w:t>
      </w:r>
      <w:r w:rsidR="001F7686">
        <w:rPr>
          <w:rFonts w:ascii="Arial" w:hAnsi="Arial" w:cs="Arial"/>
          <w:sz w:val="22"/>
          <w:szCs w:val="22"/>
          <w:lang w:val="fr-BE"/>
        </w:rPr>
        <w:t xml:space="preserve"> </w:t>
      </w:r>
      <w:r w:rsidR="001F7686" w:rsidRPr="001F7686">
        <w:rPr>
          <w:rFonts w:ascii="Arial" w:hAnsi="Arial" w:cs="Arial"/>
          <w:sz w:val="22"/>
          <w:szCs w:val="22"/>
          <w:lang w:val="fr-BE"/>
        </w:rPr>
        <w:t>en 2011. Un an après, elles sont,</w:t>
      </w:r>
      <w:r w:rsidR="001F7686">
        <w:rPr>
          <w:rFonts w:ascii="Arial" w:hAnsi="Arial" w:cs="Arial"/>
          <w:sz w:val="22"/>
          <w:szCs w:val="22"/>
          <w:lang w:val="fr-BE"/>
        </w:rPr>
        <w:t xml:space="preserve"> </w:t>
      </w:r>
      <w:r w:rsidR="001F7686" w:rsidRPr="001F7686">
        <w:rPr>
          <w:rFonts w:ascii="Arial" w:hAnsi="Arial" w:cs="Arial"/>
          <w:sz w:val="22"/>
          <w:szCs w:val="22"/>
          <w:lang w:val="fr-BE"/>
        </w:rPr>
        <w:t>en proportion, un peu moins à penser le</w:t>
      </w:r>
      <w:r w:rsidR="001F7686">
        <w:rPr>
          <w:rFonts w:ascii="Arial" w:hAnsi="Arial" w:cs="Arial"/>
          <w:sz w:val="22"/>
          <w:szCs w:val="22"/>
          <w:lang w:val="fr-BE"/>
        </w:rPr>
        <w:t xml:space="preserve"> </w:t>
      </w:r>
      <w:r w:rsidR="0007527B">
        <w:rPr>
          <w:rFonts w:ascii="Arial" w:hAnsi="Arial" w:cs="Arial"/>
          <w:sz w:val="22"/>
          <w:szCs w:val="22"/>
          <w:lang w:val="fr-BE"/>
        </w:rPr>
        <w:t>faire en 2012 (20,1</w:t>
      </w:r>
      <w:r w:rsidR="001F7686" w:rsidRPr="001F7686">
        <w:rPr>
          <w:rFonts w:ascii="Arial" w:hAnsi="Arial" w:cs="Arial"/>
          <w:sz w:val="22"/>
          <w:szCs w:val="22"/>
          <w:lang w:val="fr-BE"/>
        </w:rPr>
        <w:t>%). En combinant</w:t>
      </w:r>
      <w:r w:rsidR="001F7686">
        <w:rPr>
          <w:rFonts w:ascii="Arial" w:hAnsi="Arial" w:cs="Arial"/>
          <w:sz w:val="22"/>
          <w:szCs w:val="22"/>
          <w:lang w:val="fr-BE"/>
        </w:rPr>
        <w:t xml:space="preserve"> </w:t>
      </w:r>
      <w:r w:rsidR="001F7686" w:rsidRPr="001F7686">
        <w:rPr>
          <w:rFonts w:ascii="Arial" w:hAnsi="Arial" w:cs="Arial"/>
          <w:sz w:val="22"/>
          <w:szCs w:val="22"/>
          <w:lang w:val="fr-BE"/>
        </w:rPr>
        <w:t>ce taux de réponses «</w:t>
      </w:r>
      <w:r w:rsidR="0007527B">
        <w:rPr>
          <w:rFonts w:ascii="Arial" w:hAnsi="Arial" w:cs="Arial"/>
          <w:sz w:val="22"/>
          <w:szCs w:val="22"/>
          <w:lang w:val="fr-BE"/>
        </w:rPr>
        <w:t xml:space="preserve"> investissements </w:t>
      </w:r>
      <w:r w:rsidR="001F7686" w:rsidRPr="001F7686">
        <w:rPr>
          <w:rFonts w:ascii="Arial" w:hAnsi="Arial" w:cs="Arial"/>
          <w:sz w:val="22"/>
          <w:szCs w:val="22"/>
          <w:lang w:val="fr-BE"/>
        </w:rPr>
        <w:t>en hausse</w:t>
      </w:r>
      <w:r w:rsidR="0007527B">
        <w:rPr>
          <w:rFonts w:ascii="Arial" w:hAnsi="Arial" w:cs="Arial"/>
          <w:sz w:val="22"/>
          <w:szCs w:val="22"/>
          <w:lang w:val="fr-BE"/>
        </w:rPr>
        <w:t xml:space="preserve"> </w:t>
      </w:r>
      <w:r w:rsidR="001F7686" w:rsidRPr="001F7686">
        <w:rPr>
          <w:rFonts w:ascii="Arial" w:hAnsi="Arial" w:cs="Arial"/>
          <w:sz w:val="22"/>
          <w:szCs w:val="22"/>
          <w:lang w:val="fr-BE"/>
        </w:rPr>
        <w:t>» (c’est-à</w:t>
      </w:r>
      <w:r w:rsidR="001F7686">
        <w:rPr>
          <w:rFonts w:ascii="Arial" w:hAnsi="Arial" w:cs="Arial"/>
          <w:sz w:val="22"/>
          <w:szCs w:val="22"/>
          <w:lang w:val="fr-BE"/>
        </w:rPr>
        <w:t>-</w:t>
      </w:r>
      <w:r w:rsidR="001F7686" w:rsidRPr="001F7686">
        <w:rPr>
          <w:rFonts w:ascii="Arial" w:hAnsi="Arial" w:cs="Arial"/>
          <w:sz w:val="22"/>
          <w:szCs w:val="22"/>
          <w:lang w:val="fr-BE"/>
        </w:rPr>
        <w:t>dire</w:t>
      </w:r>
      <w:r w:rsidR="001F7686">
        <w:rPr>
          <w:rFonts w:ascii="Arial" w:hAnsi="Arial" w:cs="Arial"/>
          <w:sz w:val="22"/>
          <w:szCs w:val="22"/>
          <w:lang w:val="fr-BE"/>
        </w:rPr>
        <w:t xml:space="preserve"> </w:t>
      </w:r>
      <w:r w:rsidR="001F7686" w:rsidRPr="001F7686">
        <w:rPr>
          <w:rFonts w:ascii="Arial" w:hAnsi="Arial" w:cs="Arial"/>
          <w:sz w:val="22"/>
          <w:szCs w:val="22"/>
          <w:lang w:val="fr-BE"/>
        </w:rPr>
        <w:t>20,1 %) avec le taux de réponse «</w:t>
      </w:r>
      <w:r w:rsidR="0007527B">
        <w:rPr>
          <w:rFonts w:ascii="Arial" w:hAnsi="Arial" w:cs="Arial"/>
          <w:sz w:val="22"/>
          <w:szCs w:val="22"/>
          <w:lang w:val="fr-BE"/>
        </w:rPr>
        <w:t xml:space="preserve"> investissements </w:t>
      </w:r>
      <w:r w:rsidR="001F7686" w:rsidRPr="001F7686">
        <w:rPr>
          <w:rFonts w:ascii="Arial" w:hAnsi="Arial" w:cs="Arial"/>
          <w:sz w:val="22"/>
          <w:szCs w:val="22"/>
          <w:lang w:val="fr-BE"/>
        </w:rPr>
        <w:t>en</w:t>
      </w:r>
      <w:r w:rsidR="001F7686">
        <w:rPr>
          <w:rFonts w:ascii="Arial" w:hAnsi="Arial" w:cs="Arial"/>
          <w:sz w:val="22"/>
          <w:szCs w:val="22"/>
          <w:lang w:val="fr-BE"/>
        </w:rPr>
        <w:t xml:space="preserve"> </w:t>
      </w:r>
      <w:r w:rsidR="001F7686" w:rsidRPr="001F7686">
        <w:rPr>
          <w:rFonts w:ascii="Arial" w:hAnsi="Arial" w:cs="Arial"/>
          <w:sz w:val="22"/>
          <w:szCs w:val="22"/>
          <w:lang w:val="fr-BE"/>
        </w:rPr>
        <w:t>baisse</w:t>
      </w:r>
      <w:r w:rsidR="0007527B">
        <w:rPr>
          <w:rFonts w:ascii="Arial" w:hAnsi="Arial" w:cs="Arial"/>
          <w:sz w:val="22"/>
          <w:szCs w:val="22"/>
          <w:lang w:val="fr-BE"/>
        </w:rPr>
        <w:t xml:space="preserve"> </w:t>
      </w:r>
      <w:r w:rsidR="001F7686" w:rsidRPr="001F7686">
        <w:rPr>
          <w:rFonts w:ascii="Arial" w:hAnsi="Arial" w:cs="Arial"/>
          <w:sz w:val="22"/>
          <w:szCs w:val="22"/>
          <w:lang w:val="fr-BE"/>
        </w:rPr>
        <w:t>» (à savoir 17,3 %), il apparaît une</w:t>
      </w:r>
      <w:r w:rsidR="001F7686">
        <w:rPr>
          <w:rFonts w:ascii="Arial" w:hAnsi="Arial" w:cs="Arial"/>
          <w:sz w:val="22"/>
          <w:szCs w:val="22"/>
          <w:lang w:val="fr-BE"/>
        </w:rPr>
        <w:t xml:space="preserve"> </w:t>
      </w:r>
      <w:r w:rsidR="001F7686" w:rsidRPr="001F7686">
        <w:rPr>
          <w:rFonts w:ascii="Arial" w:hAnsi="Arial" w:cs="Arial"/>
          <w:sz w:val="22"/>
          <w:szCs w:val="22"/>
          <w:lang w:val="fr-BE"/>
        </w:rPr>
        <w:t>balance très légèrement positive pour</w:t>
      </w:r>
      <w:r w:rsidR="001F7686">
        <w:rPr>
          <w:rFonts w:ascii="Arial" w:hAnsi="Arial" w:cs="Arial"/>
          <w:sz w:val="22"/>
          <w:szCs w:val="22"/>
          <w:lang w:val="fr-BE"/>
        </w:rPr>
        <w:t xml:space="preserve"> </w:t>
      </w:r>
      <w:r w:rsidR="001F7686" w:rsidRPr="001F7686">
        <w:rPr>
          <w:rFonts w:ascii="Arial" w:hAnsi="Arial" w:cs="Arial"/>
          <w:sz w:val="22"/>
          <w:szCs w:val="22"/>
          <w:lang w:val="fr-BE"/>
        </w:rPr>
        <w:t>l’économie de 2,8 points (la balance</w:t>
      </w:r>
      <w:r w:rsidR="001F7686">
        <w:rPr>
          <w:rFonts w:ascii="Arial" w:hAnsi="Arial" w:cs="Arial"/>
          <w:sz w:val="22"/>
          <w:szCs w:val="22"/>
          <w:lang w:val="fr-BE"/>
        </w:rPr>
        <w:t xml:space="preserve"> </w:t>
      </w:r>
      <w:r w:rsidR="001F7686" w:rsidRPr="001F7686">
        <w:rPr>
          <w:rFonts w:ascii="Arial" w:hAnsi="Arial" w:cs="Arial"/>
          <w:sz w:val="22"/>
          <w:szCs w:val="22"/>
          <w:lang w:val="fr-BE"/>
        </w:rPr>
        <w:t>de l’EES2011 s’élevait à 8,5 points).</w:t>
      </w:r>
      <w:r w:rsidR="001F7686">
        <w:rPr>
          <w:rFonts w:ascii="Arial" w:hAnsi="Arial" w:cs="Arial"/>
          <w:sz w:val="22"/>
          <w:szCs w:val="22"/>
          <w:lang w:val="fr-BE"/>
        </w:rPr>
        <w:t xml:space="preserve"> </w:t>
      </w:r>
    </w:p>
    <w:p w:rsidR="001F7686" w:rsidRDefault="001F7686" w:rsidP="00634ABE">
      <w:pPr>
        <w:jc w:val="both"/>
        <w:rPr>
          <w:rFonts w:ascii="Arial" w:hAnsi="Arial" w:cs="Arial"/>
          <w:sz w:val="22"/>
          <w:szCs w:val="22"/>
          <w:lang w:val="fr-BE"/>
        </w:rPr>
      </w:pPr>
    </w:p>
    <w:p w:rsidR="001A48B2" w:rsidRPr="00E033D5" w:rsidRDefault="001A48B2" w:rsidP="00634ABE">
      <w:pPr>
        <w:jc w:val="both"/>
        <w:rPr>
          <w:rFonts w:ascii="Arial" w:hAnsi="Arial" w:cs="Arial"/>
          <w:sz w:val="22"/>
          <w:szCs w:val="22"/>
          <w:lang w:val="fr-BE"/>
        </w:rPr>
      </w:pPr>
      <w:r w:rsidRPr="00E033D5">
        <w:rPr>
          <w:rFonts w:ascii="Arial" w:hAnsi="Arial" w:cs="Arial"/>
          <w:sz w:val="22"/>
          <w:szCs w:val="22"/>
          <w:lang w:val="fr-BE"/>
        </w:rPr>
        <w:t>Il subsiste</w:t>
      </w:r>
      <w:r w:rsidR="0019288E" w:rsidRPr="00E033D5">
        <w:rPr>
          <w:rFonts w:ascii="Arial" w:hAnsi="Arial" w:cs="Arial"/>
          <w:sz w:val="22"/>
          <w:szCs w:val="22"/>
          <w:lang w:val="fr-BE"/>
        </w:rPr>
        <w:t xml:space="preserve"> </w:t>
      </w:r>
      <w:r w:rsidR="004864A6">
        <w:rPr>
          <w:rFonts w:ascii="Arial" w:hAnsi="Arial" w:cs="Arial"/>
          <w:sz w:val="22"/>
          <w:szCs w:val="22"/>
          <w:lang w:val="fr-BE"/>
        </w:rPr>
        <w:t>donc</w:t>
      </w:r>
      <w:r w:rsidRPr="00E033D5">
        <w:rPr>
          <w:rFonts w:ascii="Arial" w:hAnsi="Arial" w:cs="Arial"/>
          <w:sz w:val="22"/>
          <w:szCs w:val="22"/>
          <w:lang w:val="fr-BE"/>
        </w:rPr>
        <w:t xml:space="preserve"> des incertitudes quant à l’évolution des investissements en 2012, même si cela vaut davantage pou</w:t>
      </w:r>
      <w:r w:rsidR="00A26363" w:rsidRPr="00E033D5">
        <w:rPr>
          <w:rFonts w:ascii="Arial" w:hAnsi="Arial" w:cs="Arial"/>
          <w:sz w:val="22"/>
          <w:szCs w:val="22"/>
          <w:lang w:val="fr-BE"/>
        </w:rPr>
        <w:t>r les entreprises industrielles</w:t>
      </w:r>
      <w:r w:rsidR="009C2300" w:rsidRPr="00E033D5">
        <w:rPr>
          <w:rFonts w:ascii="Arial" w:hAnsi="Arial" w:cs="Arial"/>
          <w:sz w:val="22"/>
          <w:szCs w:val="22"/>
          <w:lang w:val="fr-BE"/>
        </w:rPr>
        <w:t xml:space="preserve"> pour lesquelles la balance atteint 0,6 point</w:t>
      </w:r>
      <w:r w:rsidRPr="00E033D5">
        <w:rPr>
          <w:rFonts w:ascii="Arial" w:hAnsi="Arial" w:cs="Arial"/>
          <w:sz w:val="22"/>
          <w:szCs w:val="22"/>
          <w:lang w:val="fr-BE"/>
        </w:rPr>
        <w:t xml:space="preserve">. </w:t>
      </w:r>
      <w:r w:rsidR="009C2300" w:rsidRPr="00E033D5">
        <w:rPr>
          <w:rFonts w:ascii="Arial" w:hAnsi="Arial" w:cs="Arial"/>
          <w:sz w:val="22"/>
          <w:szCs w:val="22"/>
          <w:lang w:val="fr-BE"/>
        </w:rPr>
        <w:t>P</w:t>
      </w:r>
      <w:r w:rsidR="004864A6">
        <w:rPr>
          <w:rFonts w:ascii="Arial" w:hAnsi="Arial" w:cs="Arial"/>
          <w:sz w:val="22"/>
          <w:szCs w:val="22"/>
          <w:lang w:val="fr-BE"/>
        </w:rPr>
        <w:t>lus de 62,7</w:t>
      </w:r>
      <w:r w:rsidR="001F7686" w:rsidRPr="00E033D5">
        <w:rPr>
          <w:rFonts w:ascii="Arial" w:hAnsi="Arial" w:cs="Arial"/>
          <w:sz w:val="22"/>
          <w:szCs w:val="22"/>
          <w:lang w:val="fr-BE"/>
        </w:rPr>
        <w:t>% des entreprises prévoient que leurs investissements resteront stables en 2012. Bien que ce pourcentage soit également important dans les services (62,5%), les prévisions favorables (20,7%) surpassent les défavorables (16,8%), permettant à la balance de rester positive (3,9 points).</w:t>
      </w:r>
    </w:p>
    <w:p w:rsidR="00A17383" w:rsidRDefault="00A17383" w:rsidP="00634ABE">
      <w:pPr>
        <w:jc w:val="both"/>
        <w:rPr>
          <w:rFonts w:ascii="Arial" w:hAnsi="Arial" w:cs="Arial"/>
          <w:sz w:val="22"/>
          <w:szCs w:val="22"/>
          <w:lang w:val="fr-BE"/>
        </w:rPr>
      </w:pPr>
    </w:p>
    <w:p w:rsidR="00C85C06" w:rsidRPr="00C85C06" w:rsidRDefault="00C85C06" w:rsidP="00634ABE">
      <w:pPr>
        <w:jc w:val="both"/>
        <w:rPr>
          <w:rFonts w:ascii="Arial" w:hAnsi="Arial" w:cs="Arial"/>
          <w:b/>
          <w:sz w:val="22"/>
          <w:szCs w:val="22"/>
          <w:lang w:val="fr-BE"/>
        </w:rPr>
      </w:pPr>
      <w:r w:rsidRPr="00C85C06">
        <w:rPr>
          <w:rFonts w:ascii="Arial" w:hAnsi="Arial" w:cs="Arial"/>
          <w:b/>
          <w:sz w:val="22"/>
          <w:szCs w:val="22"/>
          <w:lang w:val="fr-BE"/>
        </w:rPr>
        <w:t>5. Perspectives des chefs d’entreprises européens</w:t>
      </w:r>
    </w:p>
    <w:p w:rsidR="00C85C06" w:rsidRDefault="00C85C06" w:rsidP="00634ABE">
      <w:pPr>
        <w:jc w:val="both"/>
        <w:rPr>
          <w:rFonts w:ascii="Arial" w:hAnsi="Arial" w:cs="Arial"/>
          <w:sz w:val="22"/>
          <w:szCs w:val="22"/>
          <w:lang w:val="fr-BE"/>
        </w:rPr>
      </w:pPr>
    </w:p>
    <w:p w:rsidR="00314E3D" w:rsidRDefault="00314E3D" w:rsidP="00634ABE">
      <w:pPr>
        <w:jc w:val="both"/>
        <w:rPr>
          <w:rFonts w:ascii="Arial" w:hAnsi="Arial" w:cs="Arial"/>
          <w:i/>
          <w:sz w:val="22"/>
          <w:szCs w:val="22"/>
          <w:lang w:val="fr-BE"/>
        </w:rPr>
      </w:pPr>
      <w:r>
        <w:rPr>
          <w:rFonts w:ascii="Arial" w:hAnsi="Arial" w:cs="Arial"/>
          <w:sz w:val="22"/>
          <w:szCs w:val="22"/>
          <w:lang w:val="fr-BE"/>
        </w:rPr>
        <w:t xml:space="preserve">Au niveau européen, </w:t>
      </w:r>
      <w:r w:rsidR="00C85C06">
        <w:rPr>
          <w:rFonts w:ascii="Arial" w:hAnsi="Arial" w:cs="Arial"/>
          <w:sz w:val="22"/>
          <w:szCs w:val="22"/>
          <w:lang w:val="fr-BE"/>
        </w:rPr>
        <w:t>les exportations sont l</w:t>
      </w:r>
      <w:r w:rsidR="00D2097B">
        <w:rPr>
          <w:rFonts w:ascii="Arial" w:hAnsi="Arial" w:cs="Arial"/>
          <w:sz w:val="22"/>
          <w:szCs w:val="22"/>
          <w:lang w:val="fr-BE"/>
        </w:rPr>
        <w:t xml:space="preserve">a principale source </w:t>
      </w:r>
      <w:r w:rsidR="000C4134">
        <w:rPr>
          <w:rFonts w:ascii="Arial" w:hAnsi="Arial" w:cs="Arial"/>
          <w:sz w:val="22"/>
          <w:szCs w:val="22"/>
          <w:lang w:val="fr-BE"/>
        </w:rPr>
        <w:t>d’espoir</w:t>
      </w:r>
      <w:r w:rsidR="00D2097B">
        <w:rPr>
          <w:rFonts w:ascii="Arial" w:hAnsi="Arial" w:cs="Arial"/>
          <w:sz w:val="22"/>
          <w:szCs w:val="22"/>
          <w:lang w:val="fr-BE"/>
        </w:rPr>
        <w:t xml:space="preserve"> pour 2012, alors que les investissements devraient être restreints, la création d’emplois négligeable et le chiffre d’affaires national limité. La crise de la dette a miné la confiance des entreprises, induisant un indicateur « Climat des affaires en 2012 » négatif pour la première fois depuis 19 ans.</w:t>
      </w:r>
      <w:r w:rsidR="00D2097B" w:rsidRPr="00D2097B">
        <w:rPr>
          <w:rFonts w:ascii="Arial" w:hAnsi="Arial" w:cs="Arial"/>
          <w:sz w:val="22"/>
          <w:szCs w:val="22"/>
          <w:lang w:val="fr-BE"/>
        </w:rPr>
        <w:t xml:space="preserve"> </w:t>
      </w:r>
      <w:r w:rsidR="00E54742">
        <w:rPr>
          <w:rFonts w:ascii="Arial" w:hAnsi="Arial" w:cs="Arial"/>
          <w:sz w:val="22"/>
          <w:szCs w:val="22"/>
          <w:lang w:val="fr-BE"/>
        </w:rPr>
        <w:t xml:space="preserve">Les Chambres concluent qu’en 2012 </w:t>
      </w:r>
      <w:r w:rsidR="00D2097B" w:rsidRPr="00D2097B">
        <w:rPr>
          <w:rFonts w:ascii="Arial" w:hAnsi="Arial" w:cs="Arial"/>
          <w:i/>
          <w:sz w:val="22"/>
          <w:szCs w:val="22"/>
          <w:lang w:val="fr-BE"/>
        </w:rPr>
        <w:t>« ça passe ou ça casse</w:t>
      </w:r>
      <w:r w:rsidR="00E54742">
        <w:rPr>
          <w:rFonts w:ascii="Arial" w:hAnsi="Arial" w:cs="Arial"/>
          <w:i/>
          <w:sz w:val="22"/>
          <w:szCs w:val="22"/>
          <w:lang w:val="fr-BE"/>
        </w:rPr>
        <w:t xml:space="preserve"> pour l’Europe</w:t>
      </w:r>
      <w:r w:rsidR="00D2097B" w:rsidRPr="00D2097B">
        <w:rPr>
          <w:rFonts w:ascii="Arial" w:hAnsi="Arial" w:cs="Arial"/>
          <w:i/>
          <w:sz w:val="22"/>
          <w:szCs w:val="22"/>
          <w:lang w:val="fr-BE"/>
        </w:rPr>
        <w:t> ».</w:t>
      </w:r>
    </w:p>
    <w:p w:rsidR="00820357" w:rsidRDefault="00820357" w:rsidP="00634ABE">
      <w:pPr>
        <w:jc w:val="both"/>
        <w:rPr>
          <w:rFonts w:ascii="Arial" w:hAnsi="Arial" w:cs="Arial"/>
          <w:sz w:val="22"/>
          <w:szCs w:val="22"/>
          <w:lang w:val="fr-BE"/>
        </w:rPr>
      </w:pPr>
    </w:p>
    <w:p w:rsidR="00562835" w:rsidRPr="004545E5" w:rsidRDefault="00562835" w:rsidP="00634ABE">
      <w:pPr>
        <w:pStyle w:val="BodyText"/>
        <w:pBdr>
          <w:top w:val="single" w:sz="4" w:space="1" w:color="auto"/>
          <w:left w:val="single" w:sz="4" w:space="4" w:color="auto"/>
          <w:bottom w:val="single" w:sz="4" w:space="1" w:color="auto"/>
          <w:right w:val="single" w:sz="4" w:space="4" w:color="auto"/>
        </w:pBdr>
        <w:spacing w:after="0"/>
        <w:jc w:val="both"/>
        <w:rPr>
          <w:rFonts w:ascii="Arial" w:hAnsi="Arial" w:cs="Arial"/>
          <w:sz w:val="22"/>
          <w:szCs w:val="22"/>
          <w:lang w:val="fr-FR"/>
        </w:rPr>
      </w:pPr>
    </w:p>
    <w:p w:rsidR="00562835" w:rsidRDefault="00562835" w:rsidP="00634ABE">
      <w:pPr>
        <w:pStyle w:val="BodyText"/>
        <w:pBdr>
          <w:top w:val="single" w:sz="4" w:space="1" w:color="auto"/>
          <w:left w:val="single" w:sz="4" w:space="4" w:color="auto"/>
          <w:bottom w:val="single" w:sz="4" w:space="1" w:color="auto"/>
          <w:right w:val="single" w:sz="4" w:space="4" w:color="auto"/>
        </w:pBdr>
        <w:spacing w:after="0"/>
        <w:jc w:val="both"/>
        <w:rPr>
          <w:rFonts w:ascii="Arial" w:hAnsi="Arial" w:cs="Arial"/>
          <w:sz w:val="22"/>
          <w:szCs w:val="22"/>
          <w:lang w:val="fr-FR"/>
        </w:rPr>
      </w:pPr>
      <w:r w:rsidRPr="004545E5">
        <w:rPr>
          <w:rFonts w:ascii="Arial" w:hAnsi="Arial" w:cs="Arial"/>
          <w:sz w:val="22"/>
          <w:szCs w:val="22"/>
          <w:lang w:val="fr-FR"/>
        </w:rPr>
        <w:t>Les personnes souhaitant davantage de renseignements peuvent s’adresser au Département Economique de la Chambre de</w:t>
      </w:r>
      <w:r w:rsidR="005C10B6">
        <w:rPr>
          <w:rFonts w:ascii="Arial" w:hAnsi="Arial" w:cs="Arial"/>
          <w:sz w:val="22"/>
          <w:szCs w:val="22"/>
          <w:lang w:val="fr-FR"/>
        </w:rPr>
        <w:t xml:space="preserve"> Commerce (tél. : 42 39 </w:t>
      </w:r>
      <w:proofErr w:type="spellStart"/>
      <w:r w:rsidR="005C10B6">
        <w:rPr>
          <w:rFonts w:ascii="Arial" w:hAnsi="Arial" w:cs="Arial"/>
          <w:sz w:val="22"/>
          <w:szCs w:val="22"/>
          <w:lang w:val="fr-FR"/>
        </w:rPr>
        <w:t>39</w:t>
      </w:r>
      <w:proofErr w:type="spellEnd"/>
      <w:r w:rsidRPr="004545E5">
        <w:rPr>
          <w:rFonts w:ascii="Arial" w:hAnsi="Arial" w:cs="Arial"/>
          <w:sz w:val="22"/>
          <w:szCs w:val="22"/>
          <w:lang w:val="fr-FR"/>
        </w:rPr>
        <w:t xml:space="preserve">, e-mail : </w:t>
      </w:r>
      <w:hyperlink r:id="rId12" w:history="1">
        <w:r w:rsidRPr="004545E5">
          <w:rPr>
            <w:rStyle w:val="Hyperlink"/>
            <w:rFonts w:ascii="Arial" w:hAnsi="Arial" w:cs="Arial"/>
            <w:color w:val="auto"/>
            <w:sz w:val="22"/>
            <w:szCs w:val="22"/>
            <w:lang w:val="fr-FR"/>
          </w:rPr>
          <w:t>eco@cc.lu</w:t>
        </w:r>
      </w:hyperlink>
      <w:r w:rsidRPr="004545E5">
        <w:rPr>
          <w:rFonts w:ascii="Arial" w:hAnsi="Arial" w:cs="Arial"/>
          <w:sz w:val="22"/>
          <w:szCs w:val="22"/>
          <w:lang w:val="fr-FR"/>
        </w:rPr>
        <w:t xml:space="preserve"> ). Le dossier du Merkur 10-201</w:t>
      </w:r>
      <w:r w:rsidR="00B76CA6" w:rsidRPr="004545E5">
        <w:rPr>
          <w:rFonts w:ascii="Arial" w:hAnsi="Arial" w:cs="Arial"/>
          <w:sz w:val="22"/>
          <w:szCs w:val="22"/>
          <w:lang w:val="fr-FR"/>
        </w:rPr>
        <w:t>1</w:t>
      </w:r>
      <w:r w:rsidRPr="004545E5">
        <w:rPr>
          <w:rFonts w:ascii="Arial" w:hAnsi="Arial" w:cs="Arial"/>
          <w:sz w:val="22"/>
          <w:szCs w:val="22"/>
          <w:lang w:val="fr-FR"/>
        </w:rPr>
        <w:t xml:space="preserve"> présentant les principaux résultats de l’EES201</w:t>
      </w:r>
      <w:r w:rsidR="00B76CA6" w:rsidRPr="004545E5">
        <w:rPr>
          <w:rFonts w:ascii="Arial" w:hAnsi="Arial" w:cs="Arial"/>
          <w:sz w:val="22"/>
          <w:szCs w:val="22"/>
          <w:lang w:val="fr-FR"/>
        </w:rPr>
        <w:t>2</w:t>
      </w:r>
      <w:r w:rsidRPr="004545E5">
        <w:rPr>
          <w:rFonts w:ascii="Arial" w:hAnsi="Arial" w:cs="Arial"/>
          <w:sz w:val="22"/>
          <w:szCs w:val="22"/>
          <w:lang w:val="fr-FR"/>
        </w:rPr>
        <w:t xml:space="preserve"> peut être consulté sur le site de la Chambre de Commerce (</w:t>
      </w:r>
      <w:hyperlink r:id="rId13" w:history="1">
        <w:r w:rsidRPr="004545E5">
          <w:rPr>
            <w:rStyle w:val="Hyperlink"/>
            <w:rFonts w:ascii="Arial" w:hAnsi="Arial" w:cs="Arial"/>
            <w:color w:val="auto"/>
            <w:sz w:val="22"/>
            <w:szCs w:val="22"/>
            <w:lang w:val="fr-FR"/>
          </w:rPr>
          <w:t>www.cc.lu</w:t>
        </w:r>
      </w:hyperlink>
      <w:r w:rsidRPr="004545E5">
        <w:rPr>
          <w:rFonts w:ascii="Arial" w:hAnsi="Arial" w:cs="Arial"/>
          <w:sz w:val="22"/>
          <w:szCs w:val="22"/>
          <w:lang w:val="fr-FR"/>
        </w:rPr>
        <w:t>). Le rapport complet, reprenant les comparaisons européennes, peut être consulté sur le site d’Eurochambres (</w:t>
      </w:r>
      <w:hyperlink r:id="rId14" w:history="1">
        <w:r w:rsidRPr="004545E5">
          <w:rPr>
            <w:rStyle w:val="Hyperlink"/>
            <w:rFonts w:ascii="Arial" w:hAnsi="Arial" w:cs="Arial"/>
            <w:color w:val="auto"/>
            <w:sz w:val="22"/>
            <w:szCs w:val="22"/>
            <w:lang w:val="fr-FR"/>
          </w:rPr>
          <w:t>www.eurochambres.eu</w:t>
        </w:r>
      </w:hyperlink>
      <w:r w:rsidRPr="004545E5">
        <w:rPr>
          <w:rFonts w:ascii="Arial" w:hAnsi="Arial" w:cs="Arial"/>
          <w:sz w:val="22"/>
          <w:szCs w:val="22"/>
          <w:lang w:val="fr-FR"/>
        </w:rPr>
        <w:t xml:space="preserve">). </w:t>
      </w:r>
    </w:p>
    <w:p w:rsidR="00F005CC" w:rsidRPr="004545E5" w:rsidRDefault="00F005CC" w:rsidP="00634ABE">
      <w:pPr>
        <w:pStyle w:val="BodyText"/>
        <w:pBdr>
          <w:top w:val="single" w:sz="4" w:space="1" w:color="auto"/>
          <w:left w:val="single" w:sz="4" w:space="4" w:color="auto"/>
          <w:bottom w:val="single" w:sz="4" w:space="1" w:color="auto"/>
          <w:right w:val="single" w:sz="4" w:space="4" w:color="auto"/>
        </w:pBdr>
        <w:spacing w:after="0"/>
        <w:jc w:val="both"/>
        <w:rPr>
          <w:rFonts w:ascii="Arial" w:hAnsi="Arial" w:cs="Arial"/>
          <w:sz w:val="22"/>
          <w:szCs w:val="22"/>
          <w:lang w:val="fr-FR"/>
        </w:rPr>
      </w:pPr>
    </w:p>
    <w:sectPr w:rsidR="00F005CC" w:rsidRPr="004545E5" w:rsidSect="00567C36">
      <w:headerReference w:type="even" r:id="rId15"/>
      <w:headerReference w:type="default" r:id="rId16"/>
      <w:footerReference w:type="even" r:id="rId17"/>
      <w:footerReference w:type="default" r:id="rId18"/>
      <w:pgSz w:w="12240" w:h="15840"/>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F5C" w:rsidRDefault="00847F5C">
      <w:r>
        <w:separator/>
      </w:r>
    </w:p>
  </w:endnote>
  <w:endnote w:type="continuationSeparator" w:id="0">
    <w:p w:rsidR="00847F5C" w:rsidRDefault="00847F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C1C" w:rsidRDefault="003E0AD5" w:rsidP="008E77D3">
    <w:pPr>
      <w:pStyle w:val="Footer"/>
      <w:framePr w:wrap="around" w:vAnchor="text" w:hAnchor="margin" w:xAlign="right" w:y="1"/>
      <w:rPr>
        <w:rStyle w:val="PageNumber"/>
      </w:rPr>
    </w:pPr>
    <w:r>
      <w:rPr>
        <w:rStyle w:val="PageNumber"/>
      </w:rPr>
      <w:fldChar w:fldCharType="begin"/>
    </w:r>
    <w:r w:rsidR="00A30C1C">
      <w:rPr>
        <w:rStyle w:val="PageNumber"/>
      </w:rPr>
      <w:instrText xml:space="preserve">PAGE  </w:instrText>
    </w:r>
    <w:r>
      <w:rPr>
        <w:rStyle w:val="PageNumber"/>
      </w:rPr>
      <w:fldChar w:fldCharType="end"/>
    </w:r>
  </w:p>
  <w:p w:rsidR="00A30C1C" w:rsidRDefault="00A30C1C" w:rsidP="0037565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C1C" w:rsidRDefault="00A30C1C" w:rsidP="0037565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F5C" w:rsidRDefault="00847F5C">
      <w:r>
        <w:separator/>
      </w:r>
    </w:p>
  </w:footnote>
  <w:footnote w:type="continuationSeparator" w:id="0">
    <w:p w:rsidR="00847F5C" w:rsidRDefault="00847F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C1C" w:rsidRDefault="003E0AD5" w:rsidP="009254C4">
    <w:pPr>
      <w:pStyle w:val="Header"/>
      <w:framePr w:wrap="around" w:vAnchor="text" w:hAnchor="margin" w:xAlign="center" w:y="1"/>
      <w:rPr>
        <w:rStyle w:val="PageNumber"/>
      </w:rPr>
    </w:pPr>
    <w:r>
      <w:rPr>
        <w:rStyle w:val="PageNumber"/>
      </w:rPr>
      <w:fldChar w:fldCharType="begin"/>
    </w:r>
    <w:r w:rsidR="00A30C1C">
      <w:rPr>
        <w:rStyle w:val="PageNumber"/>
      </w:rPr>
      <w:instrText xml:space="preserve">PAGE  </w:instrText>
    </w:r>
    <w:r>
      <w:rPr>
        <w:rStyle w:val="PageNumber"/>
      </w:rPr>
      <w:fldChar w:fldCharType="end"/>
    </w:r>
  </w:p>
  <w:p w:rsidR="00A30C1C" w:rsidRDefault="00A30C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C1C" w:rsidRDefault="003E0AD5" w:rsidP="009254C4">
    <w:pPr>
      <w:pStyle w:val="Header"/>
      <w:framePr w:wrap="around" w:vAnchor="text" w:hAnchor="margin" w:xAlign="center" w:y="1"/>
      <w:rPr>
        <w:rStyle w:val="PageNumber"/>
      </w:rPr>
    </w:pPr>
    <w:r>
      <w:rPr>
        <w:rStyle w:val="PageNumber"/>
      </w:rPr>
      <w:fldChar w:fldCharType="begin"/>
    </w:r>
    <w:r w:rsidR="00A30C1C">
      <w:rPr>
        <w:rStyle w:val="PageNumber"/>
      </w:rPr>
      <w:instrText xml:space="preserve">PAGE  </w:instrText>
    </w:r>
    <w:r>
      <w:rPr>
        <w:rStyle w:val="PageNumber"/>
      </w:rPr>
      <w:fldChar w:fldCharType="separate"/>
    </w:r>
    <w:r w:rsidR="00187BEB">
      <w:rPr>
        <w:rStyle w:val="PageNumber"/>
        <w:noProof/>
      </w:rPr>
      <w:t>6</w:t>
    </w:r>
    <w:r>
      <w:rPr>
        <w:rStyle w:val="PageNumber"/>
      </w:rPr>
      <w:fldChar w:fldCharType="end"/>
    </w:r>
  </w:p>
  <w:p w:rsidR="00A30C1C" w:rsidRDefault="00A30C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97A"/>
    <w:multiLevelType w:val="hybridMultilevel"/>
    <w:tmpl w:val="25AC9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941A61"/>
    <w:multiLevelType w:val="hybridMultilevel"/>
    <w:tmpl w:val="80CA2B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nsid w:val="06AF2728"/>
    <w:multiLevelType w:val="hybridMultilevel"/>
    <w:tmpl w:val="E88E359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nsid w:val="07433A06"/>
    <w:multiLevelType w:val="hybridMultilevel"/>
    <w:tmpl w:val="CFEC2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A5271F"/>
    <w:multiLevelType w:val="hybridMultilevel"/>
    <w:tmpl w:val="F05ED4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nsid w:val="0AAB7338"/>
    <w:multiLevelType w:val="hybridMultilevel"/>
    <w:tmpl w:val="D1D46F9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nsid w:val="10FD68A5"/>
    <w:multiLevelType w:val="hybridMultilevel"/>
    <w:tmpl w:val="BD226A4E"/>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7">
    <w:nsid w:val="25EF09DB"/>
    <w:multiLevelType w:val="multilevel"/>
    <w:tmpl w:val="140C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679206A"/>
    <w:multiLevelType w:val="hybridMultilevel"/>
    <w:tmpl w:val="FB7A3F4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nsid w:val="29572D5D"/>
    <w:multiLevelType w:val="hybridMultilevel"/>
    <w:tmpl w:val="232EE38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nsid w:val="29AA2202"/>
    <w:multiLevelType w:val="hybridMultilevel"/>
    <w:tmpl w:val="A0A67F40"/>
    <w:lvl w:ilvl="0" w:tplc="1EC4AC46">
      <w:start w:val="1"/>
      <w:numFmt w:val="decimal"/>
      <w:lvlText w:val="%1."/>
      <w:lvlJc w:val="left"/>
      <w:pPr>
        <w:tabs>
          <w:tab w:val="num" w:pos="720"/>
        </w:tabs>
        <w:ind w:left="720" w:hanging="360"/>
      </w:pPr>
      <w:rPr>
        <w:rFonts w:eastAsia="Arial Unicode MS"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4D7985"/>
    <w:multiLevelType w:val="hybridMultilevel"/>
    <w:tmpl w:val="5FE2D5B4"/>
    <w:lvl w:ilvl="0" w:tplc="140C0001">
      <w:start w:val="1"/>
      <w:numFmt w:val="bullet"/>
      <w:lvlText w:val=""/>
      <w:lvlJc w:val="left"/>
      <w:pPr>
        <w:ind w:left="1080" w:hanging="360"/>
      </w:pPr>
      <w:rPr>
        <w:rFonts w:ascii="Symbol" w:hAnsi="Symbol" w:hint="default"/>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abstractNum w:abstractNumId="12">
    <w:nsid w:val="36673D58"/>
    <w:multiLevelType w:val="hybridMultilevel"/>
    <w:tmpl w:val="6B5E9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286458"/>
    <w:multiLevelType w:val="hybridMultilevel"/>
    <w:tmpl w:val="AE8EFA62"/>
    <w:lvl w:ilvl="0" w:tplc="140C0001">
      <w:start w:val="1"/>
      <w:numFmt w:val="bullet"/>
      <w:lvlText w:val=""/>
      <w:lvlJc w:val="left"/>
      <w:pPr>
        <w:ind w:left="1080" w:hanging="360"/>
      </w:pPr>
      <w:rPr>
        <w:rFonts w:ascii="Symbol" w:hAnsi="Symbol" w:hint="default"/>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abstractNum w:abstractNumId="14">
    <w:nsid w:val="47A37691"/>
    <w:multiLevelType w:val="hybridMultilevel"/>
    <w:tmpl w:val="B1603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A54B27"/>
    <w:multiLevelType w:val="hybridMultilevel"/>
    <w:tmpl w:val="8B3C0AD2"/>
    <w:lvl w:ilvl="0" w:tplc="181AFB36">
      <w:start w:val="1"/>
      <w:numFmt w:val="decimal"/>
      <w:pStyle w:val="Sous-titre1"/>
      <w:lvlText w:val="%1."/>
      <w:lvlJc w:val="left"/>
      <w:pPr>
        <w:tabs>
          <w:tab w:val="num" w:pos="3196"/>
        </w:tabs>
        <w:ind w:left="3196" w:hanging="360"/>
      </w:pPr>
      <w:rPr>
        <w:rFonts w:hint="default"/>
      </w:rPr>
    </w:lvl>
    <w:lvl w:ilvl="1" w:tplc="04090001">
      <w:start w:val="1"/>
      <w:numFmt w:val="bullet"/>
      <w:lvlText w:val=""/>
      <w:lvlJc w:val="left"/>
      <w:pPr>
        <w:tabs>
          <w:tab w:val="num" w:pos="3916"/>
        </w:tabs>
        <w:ind w:left="3916" w:hanging="360"/>
      </w:pPr>
      <w:rPr>
        <w:rFonts w:ascii="Symbol" w:hAnsi="Symbol" w:hint="default"/>
      </w:rPr>
    </w:lvl>
    <w:lvl w:ilvl="2" w:tplc="0409001B" w:tentative="1">
      <w:start w:val="1"/>
      <w:numFmt w:val="lowerRoman"/>
      <w:lvlText w:val="%3."/>
      <w:lvlJc w:val="right"/>
      <w:pPr>
        <w:tabs>
          <w:tab w:val="num" w:pos="4636"/>
        </w:tabs>
        <w:ind w:left="4636" w:hanging="180"/>
      </w:pPr>
    </w:lvl>
    <w:lvl w:ilvl="3" w:tplc="0409000F" w:tentative="1">
      <w:start w:val="1"/>
      <w:numFmt w:val="decimal"/>
      <w:lvlText w:val="%4."/>
      <w:lvlJc w:val="left"/>
      <w:pPr>
        <w:tabs>
          <w:tab w:val="num" w:pos="5356"/>
        </w:tabs>
        <w:ind w:left="5356" w:hanging="360"/>
      </w:pPr>
    </w:lvl>
    <w:lvl w:ilvl="4" w:tplc="04090019" w:tentative="1">
      <w:start w:val="1"/>
      <w:numFmt w:val="lowerLetter"/>
      <w:lvlText w:val="%5."/>
      <w:lvlJc w:val="left"/>
      <w:pPr>
        <w:tabs>
          <w:tab w:val="num" w:pos="6076"/>
        </w:tabs>
        <w:ind w:left="6076" w:hanging="360"/>
      </w:pPr>
    </w:lvl>
    <w:lvl w:ilvl="5" w:tplc="0409001B" w:tentative="1">
      <w:start w:val="1"/>
      <w:numFmt w:val="lowerRoman"/>
      <w:lvlText w:val="%6."/>
      <w:lvlJc w:val="right"/>
      <w:pPr>
        <w:tabs>
          <w:tab w:val="num" w:pos="6796"/>
        </w:tabs>
        <w:ind w:left="6796" w:hanging="180"/>
      </w:pPr>
    </w:lvl>
    <w:lvl w:ilvl="6" w:tplc="0409000F" w:tentative="1">
      <w:start w:val="1"/>
      <w:numFmt w:val="decimal"/>
      <w:lvlText w:val="%7."/>
      <w:lvlJc w:val="left"/>
      <w:pPr>
        <w:tabs>
          <w:tab w:val="num" w:pos="7516"/>
        </w:tabs>
        <w:ind w:left="7516" w:hanging="360"/>
      </w:pPr>
    </w:lvl>
    <w:lvl w:ilvl="7" w:tplc="04090019" w:tentative="1">
      <w:start w:val="1"/>
      <w:numFmt w:val="lowerLetter"/>
      <w:lvlText w:val="%8."/>
      <w:lvlJc w:val="left"/>
      <w:pPr>
        <w:tabs>
          <w:tab w:val="num" w:pos="8236"/>
        </w:tabs>
        <w:ind w:left="8236" w:hanging="360"/>
      </w:pPr>
    </w:lvl>
    <w:lvl w:ilvl="8" w:tplc="0409001B" w:tentative="1">
      <w:start w:val="1"/>
      <w:numFmt w:val="lowerRoman"/>
      <w:lvlText w:val="%9."/>
      <w:lvlJc w:val="right"/>
      <w:pPr>
        <w:tabs>
          <w:tab w:val="num" w:pos="8956"/>
        </w:tabs>
        <w:ind w:left="8956" w:hanging="180"/>
      </w:pPr>
    </w:lvl>
  </w:abstractNum>
  <w:abstractNum w:abstractNumId="16">
    <w:nsid w:val="4CA3595C"/>
    <w:multiLevelType w:val="hybridMultilevel"/>
    <w:tmpl w:val="ADE807C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nsid w:val="4D173101"/>
    <w:multiLevelType w:val="hybridMultilevel"/>
    <w:tmpl w:val="37B204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4E612934"/>
    <w:multiLevelType w:val="hybridMultilevel"/>
    <w:tmpl w:val="90CC8E9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nsid w:val="512713AF"/>
    <w:multiLevelType w:val="hybridMultilevel"/>
    <w:tmpl w:val="9FC24F52"/>
    <w:lvl w:ilvl="0" w:tplc="1832BFB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8760D4"/>
    <w:multiLevelType w:val="hybridMultilevel"/>
    <w:tmpl w:val="CDDE3D9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nsid w:val="51A615AD"/>
    <w:multiLevelType w:val="hybridMultilevel"/>
    <w:tmpl w:val="A83CA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5466DB"/>
    <w:multiLevelType w:val="hybridMultilevel"/>
    <w:tmpl w:val="6CC8A25A"/>
    <w:lvl w:ilvl="0" w:tplc="1832BFB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59781F"/>
    <w:multiLevelType w:val="hybridMultilevel"/>
    <w:tmpl w:val="2CCE6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1D71C3"/>
    <w:multiLevelType w:val="hybridMultilevel"/>
    <w:tmpl w:val="502C3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0206530"/>
    <w:multiLevelType w:val="hybridMultilevel"/>
    <w:tmpl w:val="78D88F7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6">
    <w:nsid w:val="608A6994"/>
    <w:multiLevelType w:val="hybridMultilevel"/>
    <w:tmpl w:val="1DCEE81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7">
    <w:nsid w:val="707A4E9B"/>
    <w:multiLevelType w:val="hybridMultilevel"/>
    <w:tmpl w:val="ABE4C9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70C7449A"/>
    <w:multiLevelType w:val="hybridMultilevel"/>
    <w:tmpl w:val="F7BA4314"/>
    <w:lvl w:ilvl="0" w:tplc="1832BFB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497F82"/>
    <w:multiLevelType w:val="hybridMultilevel"/>
    <w:tmpl w:val="91C6ECC4"/>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30">
    <w:nsid w:val="74EE2158"/>
    <w:multiLevelType w:val="hybridMultilevel"/>
    <w:tmpl w:val="5DC81F42"/>
    <w:lvl w:ilvl="0" w:tplc="D3D2B8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5D1287C"/>
    <w:multiLevelType w:val="hybridMultilevel"/>
    <w:tmpl w:val="ED02023A"/>
    <w:lvl w:ilvl="0" w:tplc="1832BFB8">
      <w:start w:val="200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FD1485"/>
    <w:multiLevelType w:val="hybridMultilevel"/>
    <w:tmpl w:val="909C2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DDE7056"/>
    <w:multiLevelType w:val="hybridMultilevel"/>
    <w:tmpl w:val="B148B9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7E7A554F"/>
    <w:multiLevelType w:val="hybridMultilevel"/>
    <w:tmpl w:val="16AC264E"/>
    <w:lvl w:ilvl="0" w:tplc="C24A0A9A">
      <w:start w:val="1"/>
      <w:numFmt w:val="bullet"/>
      <w:lvlText w:val=""/>
      <w:lvlJc w:val="left"/>
      <w:pPr>
        <w:ind w:left="360" w:hanging="360"/>
      </w:pPr>
      <w:rPr>
        <w:rFonts w:ascii="Symbol" w:hAnsi="Symbol"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10"/>
  </w:num>
  <w:num w:numId="4">
    <w:abstractNumId w:val="23"/>
  </w:num>
  <w:num w:numId="5">
    <w:abstractNumId w:val="14"/>
  </w:num>
  <w:num w:numId="6">
    <w:abstractNumId w:val="15"/>
  </w:num>
  <w:num w:numId="7">
    <w:abstractNumId w:val="30"/>
  </w:num>
  <w:num w:numId="8">
    <w:abstractNumId w:val="15"/>
    <w:lvlOverride w:ilvl="0">
      <w:startOverride w:val="1"/>
    </w:lvlOverride>
  </w:num>
  <w:num w:numId="9">
    <w:abstractNumId w:val="31"/>
  </w:num>
  <w:num w:numId="10">
    <w:abstractNumId w:val="32"/>
  </w:num>
  <w:num w:numId="11">
    <w:abstractNumId w:val="19"/>
  </w:num>
  <w:num w:numId="12">
    <w:abstractNumId w:val="22"/>
  </w:num>
  <w:num w:numId="13">
    <w:abstractNumId w:val="28"/>
  </w:num>
  <w:num w:numId="14">
    <w:abstractNumId w:val="3"/>
  </w:num>
  <w:num w:numId="15">
    <w:abstractNumId w:val="21"/>
  </w:num>
  <w:num w:numId="16">
    <w:abstractNumId w:val="24"/>
  </w:num>
  <w:num w:numId="17">
    <w:abstractNumId w:val="7"/>
  </w:num>
  <w:num w:numId="18">
    <w:abstractNumId w:val="25"/>
  </w:num>
  <w:num w:numId="19">
    <w:abstractNumId w:val="11"/>
  </w:num>
  <w:num w:numId="20">
    <w:abstractNumId w:val="2"/>
  </w:num>
  <w:num w:numId="21">
    <w:abstractNumId w:val="16"/>
  </w:num>
  <w:num w:numId="22">
    <w:abstractNumId w:val="29"/>
  </w:num>
  <w:num w:numId="23">
    <w:abstractNumId w:val="20"/>
  </w:num>
  <w:num w:numId="24">
    <w:abstractNumId w:val="6"/>
  </w:num>
  <w:num w:numId="25">
    <w:abstractNumId w:val="27"/>
  </w:num>
  <w:num w:numId="26">
    <w:abstractNumId w:val="8"/>
  </w:num>
  <w:num w:numId="27">
    <w:abstractNumId w:val="33"/>
  </w:num>
  <w:num w:numId="28">
    <w:abstractNumId w:val="17"/>
  </w:num>
  <w:num w:numId="29">
    <w:abstractNumId w:val="18"/>
  </w:num>
  <w:num w:numId="30">
    <w:abstractNumId w:val="34"/>
  </w:num>
  <w:num w:numId="31">
    <w:abstractNumId w:val="9"/>
  </w:num>
  <w:num w:numId="32">
    <w:abstractNumId w:val="26"/>
  </w:num>
  <w:num w:numId="33">
    <w:abstractNumId w:val="13"/>
  </w:num>
  <w:num w:numId="34">
    <w:abstractNumId w:val="4"/>
  </w:num>
  <w:num w:numId="35">
    <w:abstractNumId w:val="5"/>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75658"/>
    <w:rsid w:val="00001152"/>
    <w:rsid w:val="00004096"/>
    <w:rsid w:val="000043C9"/>
    <w:rsid w:val="00004EDA"/>
    <w:rsid w:val="00012069"/>
    <w:rsid w:val="000128DB"/>
    <w:rsid w:val="00015655"/>
    <w:rsid w:val="00015984"/>
    <w:rsid w:val="0001678D"/>
    <w:rsid w:val="0002023F"/>
    <w:rsid w:val="00020A1A"/>
    <w:rsid w:val="000214D9"/>
    <w:rsid w:val="00023326"/>
    <w:rsid w:val="0002464E"/>
    <w:rsid w:val="00025CE3"/>
    <w:rsid w:val="0003290B"/>
    <w:rsid w:val="000332F0"/>
    <w:rsid w:val="0003637F"/>
    <w:rsid w:val="00036892"/>
    <w:rsid w:val="000404C7"/>
    <w:rsid w:val="00041474"/>
    <w:rsid w:val="000430CF"/>
    <w:rsid w:val="00043D41"/>
    <w:rsid w:val="000442A0"/>
    <w:rsid w:val="0004666B"/>
    <w:rsid w:val="00051D6E"/>
    <w:rsid w:val="00051F2A"/>
    <w:rsid w:val="0005611B"/>
    <w:rsid w:val="000568BA"/>
    <w:rsid w:val="000629CC"/>
    <w:rsid w:val="00070293"/>
    <w:rsid w:val="000711A1"/>
    <w:rsid w:val="00072F29"/>
    <w:rsid w:val="00073D2B"/>
    <w:rsid w:val="00074D98"/>
    <w:rsid w:val="0007527B"/>
    <w:rsid w:val="00075B2C"/>
    <w:rsid w:val="00076203"/>
    <w:rsid w:val="00077F79"/>
    <w:rsid w:val="0008035B"/>
    <w:rsid w:val="000805F2"/>
    <w:rsid w:val="00081EAA"/>
    <w:rsid w:val="000821E3"/>
    <w:rsid w:val="000823ED"/>
    <w:rsid w:val="00083BEF"/>
    <w:rsid w:val="00083CB6"/>
    <w:rsid w:val="00086383"/>
    <w:rsid w:val="0009489E"/>
    <w:rsid w:val="00094AEA"/>
    <w:rsid w:val="00094FF0"/>
    <w:rsid w:val="0009755B"/>
    <w:rsid w:val="00097B9E"/>
    <w:rsid w:val="000A2070"/>
    <w:rsid w:val="000A369F"/>
    <w:rsid w:val="000A51B1"/>
    <w:rsid w:val="000A5EB0"/>
    <w:rsid w:val="000B0F41"/>
    <w:rsid w:val="000B1EBD"/>
    <w:rsid w:val="000B3EEC"/>
    <w:rsid w:val="000B4886"/>
    <w:rsid w:val="000B62E1"/>
    <w:rsid w:val="000B6BBF"/>
    <w:rsid w:val="000B7943"/>
    <w:rsid w:val="000C0A7C"/>
    <w:rsid w:val="000C2400"/>
    <w:rsid w:val="000C2497"/>
    <w:rsid w:val="000C4134"/>
    <w:rsid w:val="000C494D"/>
    <w:rsid w:val="000C7FB4"/>
    <w:rsid w:val="000D4F37"/>
    <w:rsid w:val="000D5D47"/>
    <w:rsid w:val="000D6FB9"/>
    <w:rsid w:val="000D7A6B"/>
    <w:rsid w:val="000E1CB4"/>
    <w:rsid w:val="000E31A8"/>
    <w:rsid w:val="000E5159"/>
    <w:rsid w:val="000E64E0"/>
    <w:rsid w:val="000E67F3"/>
    <w:rsid w:val="000E6A91"/>
    <w:rsid w:val="000E7E09"/>
    <w:rsid w:val="000F4B11"/>
    <w:rsid w:val="000F5D9F"/>
    <w:rsid w:val="000F621C"/>
    <w:rsid w:val="00105BFB"/>
    <w:rsid w:val="00121929"/>
    <w:rsid w:val="00130AAF"/>
    <w:rsid w:val="00131C93"/>
    <w:rsid w:val="00133DAD"/>
    <w:rsid w:val="00134DFE"/>
    <w:rsid w:val="001352B4"/>
    <w:rsid w:val="00140A3F"/>
    <w:rsid w:val="00142920"/>
    <w:rsid w:val="0014339D"/>
    <w:rsid w:val="001438B0"/>
    <w:rsid w:val="00145117"/>
    <w:rsid w:val="0014518F"/>
    <w:rsid w:val="00145752"/>
    <w:rsid w:val="001516A9"/>
    <w:rsid w:val="0015356E"/>
    <w:rsid w:val="001536D2"/>
    <w:rsid w:val="00153F88"/>
    <w:rsid w:val="0015434C"/>
    <w:rsid w:val="00156B2E"/>
    <w:rsid w:val="00157FAF"/>
    <w:rsid w:val="0016395B"/>
    <w:rsid w:val="00164EE1"/>
    <w:rsid w:val="00165260"/>
    <w:rsid w:val="00167F2B"/>
    <w:rsid w:val="001705B3"/>
    <w:rsid w:val="00170A39"/>
    <w:rsid w:val="0017119B"/>
    <w:rsid w:val="00172928"/>
    <w:rsid w:val="001749A1"/>
    <w:rsid w:val="00182600"/>
    <w:rsid w:val="001828FA"/>
    <w:rsid w:val="00182C6A"/>
    <w:rsid w:val="0018444F"/>
    <w:rsid w:val="00184A31"/>
    <w:rsid w:val="00186AA5"/>
    <w:rsid w:val="001879CE"/>
    <w:rsid w:val="00187BEB"/>
    <w:rsid w:val="0019288E"/>
    <w:rsid w:val="001A48B2"/>
    <w:rsid w:val="001A5407"/>
    <w:rsid w:val="001A5CE9"/>
    <w:rsid w:val="001A6F2F"/>
    <w:rsid w:val="001B037F"/>
    <w:rsid w:val="001B0A07"/>
    <w:rsid w:val="001B1D33"/>
    <w:rsid w:val="001B2E95"/>
    <w:rsid w:val="001B3843"/>
    <w:rsid w:val="001C0E20"/>
    <w:rsid w:val="001C20D8"/>
    <w:rsid w:val="001C7FAC"/>
    <w:rsid w:val="001D0725"/>
    <w:rsid w:val="001D0DA3"/>
    <w:rsid w:val="001D1B70"/>
    <w:rsid w:val="001D2126"/>
    <w:rsid w:val="001D3A0E"/>
    <w:rsid w:val="001D6696"/>
    <w:rsid w:val="001D7C16"/>
    <w:rsid w:val="001E016C"/>
    <w:rsid w:val="001E04DE"/>
    <w:rsid w:val="001E17C0"/>
    <w:rsid w:val="001E1D66"/>
    <w:rsid w:val="001E232B"/>
    <w:rsid w:val="001E388A"/>
    <w:rsid w:val="001E5BCD"/>
    <w:rsid w:val="001E6CCF"/>
    <w:rsid w:val="001F3470"/>
    <w:rsid w:val="001F42E8"/>
    <w:rsid w:val="001F7686"/>
    <w:rsid w:val="00204D33"/>
    <w:rsid w:val="002064F1"/>
    <w:rsid w:val="00214074"/>
    <w:rsid w:val="002154E9"/>
    <w:rsid w:val="00215FFB"/>
    <w:rsid w:val="00220D7A"/>
    <w:rsid w:val="002226D1"/>
    <w:rsid w:val="00222957"/>
    <w:rsid w:val="00223E23"/>
    <w:rsid w:val="002240A3"/>
    <w:rsid w:val="002254E1"/>
    <w:rsid w:val="00225E7C"/>
    <w:rsid w:val="00226B57"/>
    <w:rsid w:val="00227146"/>
    <w:rsid w:val="002277B4"/>
    <w:rsid w:val="00227FE9"/>
    <w:rsid w:val="0023044E"/>
    <w:rsid w:val="0023099D"/>
    <w:rsid w:val="0023213F"/>
    <w:rsid w:val="00232307"/>
    <w:rsid w:val="00232B5A"/>
    <w:rsid w:val="00232CAF"/>
    <w:rsid w:val="00233570"/>
    <w:rsid w:val="0023445D"/>
    <w:rsid w:val="00235676"/>
    <w:rsid w:val="002410E8"/>
    <w:rsid w:val="00241C9D"/>
    <w:rsid w:val="00242322"/>
    <w:rsid w:val="00244992"/>
    <w:rsid w:val="0025423B"/>
    <w:rsid w:val="0025587C"/>
    <w:rsid w:val="002569DF"/>
    <w:rsid w:val="00260825"/>
    <w:rsid w:val="002631F1"/>
    <w:rsid w:val="00264269"/>
    <w:rsid w:val="00264330"/>
    <w:rsid w:val="00264729"/>
    <w:rsid w:val="00266D30"/>
    <w:rsid w:val="002670A1"/>
    <w:rsid w:val="002708E4"/>
    <w:rsid w:val="002710B8"/>
    <w:rsid w:val="002768E3"/>
    <w:rsid w:val="002777A5"/>
    <w:rsid w:val="00284467"/>
    <w:rsid w:val="00284A0F"/>
    <w:rsid w:val="002874DA"/>
    <w:rsid w:val="0028780D"/>
    <w:rsid w:val="002927AD"/>
    <w:rsid w:val="00294679"/>
    <w:rsid w:val="002960F1"/>
    <w:rsid w:val="00296945"/>
    <w:rsid w:val="00296EDE"/>
    <w:rsid w:val="002A1C59"/>
    <w:rsid w:val="002A36CB"/>
    <w:rsid w:val="002A4240"/>
    <w:rsid w:val="002A4910"/>
    <w:rsid w:val="002A4BA5"/>
    <w:rsid w:val="002A55A1"/>
    <w:rsid w:val="002B06CB"/>
    <w:rsid w:val="002B0A3C"/>
    <w:rsid w:val="002B170C"/>
    <w:rsid w:val="002B29B1"/>
    <w:rsid w:val="002B2AF6"/>
    <w:rsid w:val="002B3091"/>
    <w:rsid w:val="002B36E7"/>
    <w:rsid w:val="002B46F3"/>
    <w:rsid w:val="002C15CA"/>
    <w:rsid w:val="002C20AB"/>
    <w:rsid w:val="002C20FB"/>
    <w:rsid w:val="002C2C13"/>
    <w:rsid w:val="002C2FE9"/>
    <w:rsid w:val="002C3606"/>
    <w:rsid w:val="002C3F90"/>
    <w:rsid w:val="002D0A0E"/>
    <w:rsid w:val="002D1258"/>
    <w:rsid w:val="002D5A94"/>
    <w:rsid w:val="002D600C"/>
    <w:rsid w:val="002D6D00"/>
    <w:rsid w:val="002D7F05"/>
    <w:rsid w:val="002E0339"/>
    <w:rsid w:val="002E10DC"/>
    <w:rsid w:val="002E1EAA"/>
    <w:rsid w:val="002E4E08"/>
    <w:rsid w:val="002E5FAA"/>
    <w:rsid w:val="002F0939"/>
    <w:rsid w:val="002F0F50"/>
    <w:rsid w:val="002F30FB"/>
    <w:rsid w:val="002F3AEA"/>
    <w:rsid w:val="002F3B14"/>
    <w:rsid w:val="002F7737"/>
    <w:rsid w:val="00302AFA"/>
    <w:rsid w:val="0030374A"/>
    <w:rsid w:val="003044A1"/>
    <w:rsid w:val="00304536"/>
    <w:rsid w:val="003122F1"/>
    <w:rsid w:val="00312E46"/>
    <w:rsid w:val="00314E3D"/>
    <w:rsid w:val="003163A7"/>
    <w:rsid w:val="00320238"/>
    <w:rsid w:val="00321A63"/>
    <w:rsid w:val="00321F88"/>
    <w:rsid w:val="003249AF"/>
    <w:rsid w:val="00325CD1"/>
    <w:rsid w:val="00335240"/>
    <w:rsid w:val="00336509"/>
    <w:rsid w:val="00340D96"/>
    <w:rsid w:val="00341867"/>
    <w:rsid w:val="0034565C"/>
    <w:rsid w:val="00345FCA"/>
    <w:rsid w:val="0034601D"/>
    <w:rsid w:val="0034690A"/>
    <w:rsid w:val="0035116E"/>
    <w:rsid w:val="00351EFD"/>
    <w:rsid w:val="00352A56"/>
    <w:rsid w:val="00352C71"/>
    <w:rsid w:val="003531F2"/>
    <w:rsid w:val="00353831"/>
    <w:rsid w:val="00354264"/>
    <w:rsid w:val="0035684E"/>
    <w:rsid w:val="00357544"/>
    <w:rsid w:val="00357660"/>
    <w:rsid w:val="00362D76"/>
    <w:rsid w:val="00363258"/>
    <w:rsid w:val="0036637D"/>
    <w:rsid w:val="00371B90"/>
    <w:rsid w:val="00374CA7"/>
    <w:rsid w:val="00375658"/>
    <w:rsid w:val="0037568D"/>
    <w:rsid w:val="00375E57"/>
    <w:rsid w:val="00381F0B"/>
    <w:rsid w:val="0038248F"/>
    <w:rsid w:val="003842A2"/>
    <w:rsid w:val="00384622"/>
    <w:rsid w:val="00385C8C"/>
    <w:rsid w:val="00385D27"/>
    <w:rsid w:val="00387C1C"/>
    <w:rsid w:val="003902FD"/>
    <w:rsid w:val="00391B98"/>
    <w:rsid w:val="003920BF"/>
    <w:rsid w:val="00393AA3"/>
    <w:rsid w:val="00393B08"/>
    <w:rsid w:val="003A0681"/>
    <w:rsid w:val="003A42E7"/>
    <w:rsid w:val="003A4F88"/>
    <w:rsid w:val="003A701D"/>
    <w:rsid w:val="003B17E1"/>
    <w:rsid w:val="003B5745"/>
    <w:rsid w:val="003B6A33"/>
    <w:rsid w:val="003C05EE"/>
    <w:rsid w:val="003C070C"/>
    <w:rsid w:val="003C3DCD"/>
    <w:rsid w:val="003C4910"/>
    <w:rsid w:val="003D091E"/>
    <w:rsid w:val="003D0AAD"/>
    <w:rsid w:val="003D183E"/>
    <w:rsid w:val="003D1EEE"/>
    <w:rsid w:val="003D2827"/>
    <w:rsid w:val="003D309E"/>
    <w:rsid w:val="003D3886"/>
    <w:rsid w:val="003D3889"/>
    <w:rsid w:val="003D4999"/>
    <w:rsid w:val="003D4CF3"/>
    <w:rsid w:val="003E0AD5"/>
    <w:rsid w:val="003E3139"/>
    <w:rsid w:val="003E4762"/>
    <w:rsid w:val="003E73EF"/>
    <w:rsid w:val="003F01C2"/>
    <w:rsid w:val="003F0EF1"/>
    <w:rsid w:val="003F3477"/>
    <w:rsid w:val="003F3A44"/>
    <w:rsid w:val="003F51A0"/>
    <w:rsid w:val="003F6454"/>
    <w:rsid w:val="003F65EC"/>
    <w:rsid w:val="003F7314"/>
    <w:rsid w:val="003F7E42"/>
    <w:rsid w:val="004015BB"/>
    <w:rsid w:val="004026D8"/>
    <w:rsid w:val="004044E8"/>
    <w:rsid w:val="00404DB3"/>
    <w:rsid w:val="00405ED8"/>
    <w:rsid w:val="004060EB"/>
    <w:rsid w:val="0040735E"/>
    <w:rsid w:val="00411D2A"/>
    <w:rsid w:val="00412E4D"/>
    <w:rsid w:val="0041329C"/>
    <w:rsid w:val="00414C80"/>
    <w:rsid w:val="00416EBD"/>
    <w:rsid w:val="0041776F"/>
    <w:rsid w:val="00421DB9"/>
    <w:rsid w:val="00422CAA"/>
    <w:rsid w:val="004268A3"/>
    <w:rsid w:val="0043086F"/>
    <w:rsid w:val="0043174A"/>
    <w:rsid w:val="00431D55"/>
    <w:rsid w:val="0043204E"/>
    <w:rsid w:val="004320EE"/>
    <w:rsid w:val="0043311F"/>
    <w:rsid w:val="0043494D"/>
    <w:rsid w:val="00435097"/>
    <w:rsid w:val="00435E0C"/>
    <w:rsid w:val="0043627E"/>
    <w:rsid w:val="00437401"/>
    <w:rsid w:val="004416E8"/>
    <w:rsid w:val="00443F31"/>
    <w:rsid w:val="00445684"/>
    <w:rsid w:val="0044611B"/>
    <w:rsid w:val="004462D5"/>
    <w:rsid w:val="00447795"/>
    <w:rsid w:val="00450163"/>
    <w:rsid w:val="004504ED"/>
    <w:rsid w:val="00451581"/>
    <w:rsid w:val="00453EC9"/>
    <w:rsid w:val="004545E5"/>
    <w:rsid w:val="00467F7A"/>
    <w:rsid w:val="004705DC"/>
    <w:rsid w:val="004740FD"/>
    <w:rsid w:val="00474292"/>
    <w:rsid w:val="004745FC"/>
    <w:rsid w:val="004761E6"/>
    <w:rsid w:val="00476B01"/>
    <w:rsid w:val="00481FE7"/>
    <w:rsid w:val="00482A2F"/>
    <w:rsid w:val="004864A6"/>
    <w:rsid w:val="00486925"/>
    <w:rsid w:val="004869FE"/>
    <w:rsid w:val="00490DDF"/>
    <w:rsid w:val="0049259B"/>
    <w:rsid w:val="00492684"/>
    <w:rsid w:val="00495D41"/>
    <w:rsid w:val="00497A2A"/>
    <w:rsid w:val="00497FF3"/>
    <w:rsid w:val="004A06AC"/>
    <w:rsid w:val="004A07E6"/>
    <w:rsid w:val="004A11DA"/>
    <w:rsid w:val="004A2EE5"/>
    <w:rsid w:val="004A41E3"/>
    <w:rsid w:val="004A46F0"/>
    <w:rsid w:val="004A5D91"/>
    <w:rsid w:val="004B2227"/>
    <w:rsid w:val="004B5817"/>
    <w:rsid w:val="004B5B18"/>
    <w:rsid w:val="004B6FC8"/>
    <w:rsid w:val="004C1BBA"/>
    <w:rsid w:val="004C2695"/>
    <w:rsid w:val="004C3070"/>
    <w:rsid w:val="004C364A"/>
    <w:rsid w:val="004C3BD7"/>
    <w:rsid w:val="004C46BB"/>
    <w:rsid w:val="004C4C85"/>
    <w:rsid w:val="004C54D9"/>
    <w:rsid w:val="004C5C97"/>
    <w:rsid w:val="004C667E"/>
    <w:rsid w:val="004C668C"/>
    <w:rsid w:val="004C7A31"/>
    <w:rsid w:val="004C7FA7"/>
    <w:rsid w:val="004D1A44"/>
    <w:rsid w:val="004D3E6C"/>
    <w:rsid w:val="004E3521"/>
    <w:rsid w:val="004E440C"/>
    <w:rsid w:val="004E58E1"/>
    <w:rsid w:val="004E7890"/>
    <w:rsid w:val="004E7ABE"/>
    <w:rsid w:val="004F2DC4"/>
    <w:rsid w:val="004F34A0"/>
    <w:rsid w:val="004F4FF5"/>
    <w:rsid w:val="004F5574"/>
    <w:rsid w:val="004F5791"/>
    <w:rsid w:val="00501EBB"/>
    <w:rsid w:val="005036FB"/>
    <w:rsid w:val="00505C87"/>
    <w:rsid w:val="00507882"/>
    <w:rsid w:val="00507940"/>
    <w:rsid w:val="00507FEF"/>
    <w:rsid w:val="00513A86"/>
    <w:rsid w:val="00514555"/>
    <w:rsid w:val="00514978"/>
    <w:rsid w:val="00516A93"/>
    <w:rsid w:val="00520238"/>
    <w:rsid w:val="00521B70"/>
    <w:rsid w:val="0052200B"/>
    <w:rsid w:val="00522A95"/>
    <w:rsid w:val="00522F9D"/>
    <w:rsid w:val="005278C7"/>
    <w:rsid w:val="005308BD"/>
    <w:rsid w:val="00531857"/>
    <w:rsid w:val="00532F24"/>
    <w:rsid w:val="0053689E"/>
    <w:rsid w:val="005369A7"/>
    <w:rsid w:val="00536DAA"/>
    <w:rsid w:val="005401ED"/>
    <w:rsid w:val="0054400B"/>
    <w:rsid w:val="00551301"/>
    <w:rsid w:val="00553DC9"/>
    <w:rsid w:val="005602C5"/>
    <w:rsid w:val="00560A36"/>
    <w:rsid w:val="00560F86"/>
    <w:rsid w:val="00562835"/>
    <w:rsid w:val="00565D01"/>
    <w:rsid w:val="00567C36"/>
    <w:rsid w:val="0057077F"/>
    <w:rsid w:val="00572267"/>
    <w:rsid w:val="00572A20"/>
    <w:rsid w:val="00572B34"/>
    <w:rsid w:val="00574DD6"/>
    <w:rsid w:val="00575556"/>
    <w:rsid w:val="005755E6"/>
    <w:rsid w:val="00576837"/>
    <w:rsid w:val="005842B9"/>
    <w:rsid w:val="005954CE"/>
    <w:rsid w:val="00595DD5"/>
    <w:rsid w:val="00595FA6"/>
    <w:rsid w:val="005A0030"/>
    <w:rsid w:val="005A06A4"/>
    <w:rsid w:val="005A0DA1"/>
    <w:rsid w:val="005A1619"/>
    <w:rsid w:val="005A3FDE"/>
    <w:rsid w:val="005A47D7"/>
    <w:rsid w:val="005B3AE7"/>
    <w:rsid w:val="005B456D"/>
    <w:rsid w:val="005B6F66"/>
    <w:rsid w:val="005C10B6"/>
    <w:rsid w:val="005C1A88"/>
    <w:rsid w:val="005C361C"/>
    <w:rsid w:val="005C46DD"/>
    <w:rsid w:val="005C5C55"/>
    <w:rsid w:val="005C6317"/>
    <w:rsid w:val="005C7A05"/>
    <w:rsid w:val="005D0ACE"/>
    <w:rsid w:val="005D0E46"/>
    <w:rsid w:val="005D4DBD"/>
    <w:rsid w:val="005D6B3F"/>
    <w:rsid w:val="005E09CC"/>
    <w:rsid w:val="005E11EE"/>
    <w:rsid w:val="005E4211"/>
    <w:rsid w:val="005E4320"/>
    <w:rsid w:val="005E4321"/>
    <w:rsid w:val="005E4D5F"/>
    <w:rsid w:val="005E5F50"/>
    <w:rsid w:val="005E6BE9"/>
    <w:rsid w:val="005F1FD1"/>
    <w:rsid w:val="005F2D57"/>
    <w:rsid w:val="005F3B8C"/>
    <w:rsid w:val="005F400B"/>
    <w:rsid w:val="005F4FDB"/>
    <w:rsid w:val="00600BFD"/>
    <w:rsid w:val="00602095"/>
    <w:rsid w:val="00602551"/>
    <w:rsid w:val="00602B79"/>
    <w:rsid w:val="00604729"/>
    <w:rsid w:val="006053D6"/>
    <w:rsid w:val="006057A0"/>
    <w:rsid w:val="00612683"/>
    <w:rsid w:val="00615BE1"/>
    <w:rsid w:val="00616219"/>
    <w:rsid w:val="00622EC1"/>
    <w:rsid w:val="00625B61"/>
    <w:rsid w:val="00625BF5"/>
    <w:rsid w:val="006276BF"/>
    <w:rsid w:val="00627C73"/>
    <w:rsid w:val="00631B25"/>
    <w:rsid w:val="00634ABE"/>
    <w:rsid w:val="006361AD"/>
    <w:rsid w:val="00642712"/>
    <w:rsid w:val="00643E22"/>
    <w:rsid w:val="00646519"/>
    <w:rsid w:val="00647B4B"/>
    <w:rsid w:val="0065537F"/>
    <w:rsid w:val="00656272"/>
    <w:rsid w:val="00656574"/>
    <w:rsid w:val="006605D0"/>
    <w:rsid w:val="00662EC3"/>
    <w:rsid w:val="00662F92"/>
    <w:rsid w:val="006630B9"/>
    <w:rsid w:val="006631C5"/>
    <w:rsid w:val="00664726"/>
    <w:rsid w:val="006730ED"/>
    <w:rsid w:val="0067465A"/>
    <w:rsid w:val="00675426"/>
    <w:rsid w:val="00675C4E"/>
    <w:rsid w:val="0067760F"/>
    <w:rsid w:val="00680D73"/>
    <w:rsid w:val="0068557B"/>
    <w:rsid w:val="0068594E"/>
    <w:rsid w:val="00690DB4"/>
    <w:rsid w:val="00691758"/>
    <w:rsid w:val="00693159"/>
    <w:rsid w:val="00693789"/>
    <w:rsid w:val="00693DEC"/>
    <w:rsid w:val="00694A48"/>
    <w:rsid w:val="00696C69"/>
    <w:rsid w:val="00696F90"/>
    <w:rsid w:val="006A16DD"/>
    <w:rsid w:val="006A2B81"/>
    <w:rsid w:val="006A528C"/>
    <w:rsid w:val="006A6269"/>
    <w:rsid w:val="006B0AE2"/>
    <w:rsid w:val="006B3ADC"/>
    <w:rsid w:val="006B666A"/>
    <w:rsid w:val="006B7B2E"/>
    <w:rsid w:val="006C266D"/>
    <w:rsid w:val="006C34FD"/>
    <w:rsid w:val="006C400B"/>
    <w:rsid w:val="006C49A5"/>
    <w:rsid w:val="006C5084"/>
    <w:rsid w:val="006C5415"/>
    <w:rsid w:val="006C575B"/>
    <w:rsid w:val="006D05B0"/>
    <w:rsid w:val="006D0E08"/>
    <w:rsid w:val="006D1A9B"/>
    <w:rsid w:val="006D2DE9"/>
    <w:rsid w:val="006D38BF"/>
    <w:rsid w:val="006D42EE"/>
    <w:rsid w:val="006D60E0"/>
    <w:rsid w:val="006D6CFB"/>
    <w:rsid w:val="006D79B4"/>
    <w:rsid w:val="006E2FCC"/>
    <w:rsid w:val="006E4BA2"/>
    <w:rsid w:val="006E64C4"/>
    <w:rsid w:val="006E66CF"/>
    <w:rsid w:val="006F290A"/>
    <w:rsid w:val="006F3385"/>
    <w:rsid w:val="006F3547"/>
    <w:rsid w:val="006F4F98"/>
    <w:rsid w:val="006F61DF"/>
    <w:rsid w:val="0070245C"/>
    <w:rsid w:val="00702DAD"/>
    <w:rsid w:val="00703CDE"/>
    <w:rsid w:val="00706E42"/>
    <w:rsid w:val="00711273"/>
    <w:rsid w:val="007119B3"/>
    <w:rsid w:val="00711BE8"/>
    <w:rsid w:val="00711E5B"/>
    <w:rsid w:val="00713272"/>
    <w:rsid w:val="007148D2"/>
    <w:rsid w:val="00715E59"/>
    <w:rsid w:val="00722125"/>
    <w:rsid w:val="007225EC"/>
    <w:rsid w:val="00723B84"/>
    <w:rsid w:val="0072463E"/>
    <w:rsid w:val="00724680"/>
    <w:rsid w:val="00730A04"/>
    <w:rsid w:val="00731BD5"/>
    <w:rsid w:val="00732575"/>
    <w:rsid w:val="0073296C"/>
    <w:rsid w:val="007334DA"/>
    <w:rsid w:val="00733EDD"/>
    <w:rsid w:val="00734D75"/>
    <w:rsid w:val="00734F36"/>
    <w:rsid w:val="007354DE"/>
    <w:rsid w:val="007370C7"/>
    <w:rsid w:val="00740A80"/>
    <w:rsid w:val="00740AB9"/>
    <w:rsid w:val="0074690A"/>
    <w:rsid w:val="007476E5"/>
    <w:rsid w:val="007514FC"/>
    <w:rsid w:val="00753435"/>
    <w:rsid w:val="00757228"/>
    <w:rsid w:val="00760D66"/>
    <w:rsid w:val="00762A6F"/>
    <w:rsid w:val="0076489A"/>
    <w:rsid w:val="007652F8"/>
    <w:rsid w:val="00766120"/>
    <w:rsid w:val="00770199"/>
    <w:rsid w:val="00771076"/>
    <w:rsid w:val="00771A9F"/>
    <w:rsid w:val="00772471"/>
    <w:rsid w:val="00772BA1"/>
    <w:rsid w:val="00773695"/>
    <w:rsid w:val="00773C08"/>
    <w:rsid w:val="00776295"/>
    <w:rsid w:val="00780718"/>
    <w:rsid w:val="007850AF"/>
    <w:rsid w:val="007854D7"/>
    <w:rsid w:val="00787538"/>
    <w:rsid w:val="00791D8D"/>
    <w:rsid w:val="00793A80"/>
    <w:rsid w:val="0079493F"/>
    <w:rsid w:val="007970A6"/>
    <w:rsid w:val="00797153"/>
    <w:rsid w:val="007A3BA3"/>
    <w:rsid w:val="007A3E9C"/>
    <w:rsid w:val="007B12CB"/>
    <w:rsid w:val="007B1753"/>
    <w:rsid w:val="007B29DE"/>
    <w:rsid w:val="007B39E9"/>
    <w:rsid w:val="007B69B6"/>
    <w:rsid w:val="007C2CE8"/>
    <w:rsid w:val="007C3713"/>
    <w:rsid w:val="007C620F"/>
    <w:rsid w:val="007C7C08"/>
    <w:rsid w:val="007D754B"/>
    <w:rsid w:val="007D7F9C"/>
    <w:rsid w:val="007E04D3"/>
    <w:rsid w:val="007E13A0"/>
    <w:rsid w:val="007E14F3"/>
    <w:rsid w:val="007E18B8"/>
    <w:rsid w:val="007E296B"/>
    <w:rsid w:val="007E2BF3"/>
    <w:rsid w:val="007E4841"/>
    <w:rsid w:val="007E7CC1"/>
    <w:rsid w:val="007F217F"/>
    <w:rsid w:val="007F2B7D"/>
    <w:rsid w:val="007F4D53"/>
    <w:rsid w:val="007F5A06"/>
    <w:rsid w:val="007F5DFC"/>
    <w:rsid w:val="007F778D"/>
    <w:rsid w:val="00801450"/>
    <w:rsid w:val="00801E58"/>
    <w:rsid w:val="00805D25"/>
    <w:rsid w:val="00805D87"/>
    <w:rsid w:val="00806729"/>
    <w:rsid w:val="00806D51"/>
    <w:rsid w:val="00807E8E"/>
    <w:rsid w:val="0081080C"/>
    <w:rsid w:val="008108D8"/>
    <w:rsid w:val="00812594"/>
    <w:rsid w:val="008127B0"/>
    <w:rsid w:val="00814E82"/>
    <w:rsid w:val="0081653A"/>
    <w:rsid w:val="008166B4"/>
    <w:rsid w:val="00820357"/>
    <w:rsid w:val="0082182F"/>
    <w:rsid w:val="00822825"/>
    <w:rsid w:val="008231C3"/>
    <w:rsid w:val="008314CD"/>
    <w:rsid w:val="00833834"/>
    <w:rsid w:val="00834A56"/>
    <w:rsid w:val="008355CF"/>
    <w:rsid w:val="00835A56"/>
    <w:rsid w:val="00836955"/>
    <w:rsid w:val="0084150C"/>
    <w:rsid w:val="00843442"/>
    <w:rsid w:val="00845162"/>
    <w:rsid w:val="0084632E"/>
    <w:rsid w:val="0084701E"/>
    <w:rsid w:val="00847F5C"/>
    <w:rsid w:val="008500F7"/>
    <w:rsid w:val="00850BC2"/>
    <w:rsid w:val="00851A01"/>
    <w:rsid w:val="00852029"/>
    <w:rsid w:val="0085470D"/>
    <w:rsid w:val="008549AD"/>
    <w:rsid w:val="00854D10"/>
    <w:rsid w:val="0085547F"/>
    <w:rsid w:val="00857936"/>
    <w:rsid w:val="00857A9E"/>
    <w:rsid w:val="008615F2"/>
    <w:rsid w:val="008631E5"/>
    <w:rsid w:val="0086765E"/>
    <w:rsid w:val="00867F6C"/>
    <w:rsid w:val="008706AC"/>
    <w:rsid w:val="00870C8B"/>
    <w:rsid w:val="0087354B"/>
    <w:rsid w:val="00873580"/>
    <w:rsid w:val="00873FF4"/>
    <w:rsid w:val="00875FD0"/>
    <w:rsid w:val="008764CE"/>
    <w:rsid w:val="00877BC8"/>
    <w:rsid w:val="00877E36"/>
    <w:rsid w:val="00880EAC"/>
    <w:rsid w:val="00882388"/>
    <w:rsid w:val="00887DEB"/>
    <w:rsid w:val="00887FA5"/>
    <w:rsid w:val="0089155B"/>
    <w:rsid w:val="008918E1"/>
    <w:rsid w:val="0089476E"/>
    <w:rsid w:val="00896566"/>
    <w:rsid w:val="008A0A74"/>
    <w:rsid w:val="008A100A"/>
    <w:rsid w:val="008A2202"/>
    <w:rsid w:val="008A35C7"/>
    <w:rsid w:val="008A5DF1"/>
    <w:rsid w:val="008A6B6D"/>
    <w:rsid w:val="008B2CDB"/>
    <w:rsid w:val="008B394E"/>
    <w:rsid w:val="008C0BAF"/>
    <w:rsid w:val="008C0FAC"/>
    <w:rsid w:val="008D014E"/>
    <w:rsid w:val="008D023B"/>
    <w:rsid w:val="008D0743"/>
    <w:rsid w:val="008D0B3E"/>
    <w:rsid w:val="008D2C75"/>
    <w:rsid w:val="008D4C33"/>
    <w:rsid w:val="008D7C7F"/>
    <w:rsid w:val="008E3A34"/>
    <w:rsid w:val="008E4248"/>
    <w:rsid w:val="008E45B8"/>
    <w:rsid w:val="008E77D3"/>
    <w:rsid w:val="008F1D50"/>
    <w:rsid w:val="008F3B81"/>
    <w:rsid w:val="008F6BD0"/>
    <w:rsid w:val="008F7C62"/>
    <w:rsid w:val="0090475D"/>
    <w:rsid w:val="00904C69"/>
    <w:rsid w:val="0091093C"/>
    <w:rsid w:val="009109B9"/>
    <w:rsid w:val="00911674"/>
    <w:rsid w:val="0091169F"/>
    <w:rsid w:val="0091220B"/>
    <w:rsid w:val="00912C50"/>
    <w:rsid w:val="00913060"/>
    <w:rsid w:val="00913FCF"/>
    <w:rsid w:val="00922587"/>
    <w:rsid w:val="00922787"/>
    <w:rsid w:val="00924106"/>
    <w:rsid w:val="009254C4"/>
    <w:rsid w:val="00932F85"/>
    <w:rsid w:val="00935B60"/>
    <w:rsid w:val="00941572"/>
    <w:rsid w:val="00945065"/>
    <w:rsid w:val="00947717"/>
    <w:rsid w:val="009531A4"/>
    <w:rsid w:val="00953EEA"/>
    <w:rsid w:val="00960378"/>
    <w:rsid w:val="0096083D"/>
    <w:rsid w:val="00960FAC"/>
    <w:rsid w:val="0096142F"/>
    <w:rsid w:val="00961C0C"/>
    <w:rsid w:val="00962099"/>
    <w:rsid w:val="009623A3"/>
    <w:rsid w:val="00966E75"/>
    <w:rsid w:val="0096788B"/>
    <w:rsid w:val="00973FFE"/>
    <w:rsid w:val="009847FA"/>
    <w:rsid w:val="00984D04"/>
    <w:rsid w:val="009855CF"/>
    <w:rsid w:val="00986504"/>
    <w:rsid w:val="00987F4E"/>
    <w:rsid w:val="00991853"/>
    <w:rsid w:val="009943D3"/>
    <w:rsid w:val="00995EE6"/>
    <w:rsid w:val="009961C3"/>
    <w:rsid w:val="00997661"/>
    <w:rsid w:val="00997CCC"/>
    <w:rsid w:val="009A00B5"/>
    <w:rsid w:val="009A31F9"/>
    <w:rsid w:val="009A4360"/>
    <w:rsid w:val="009A4CFD"/>
    <w:rsid w:val="009A4F7B"/>
    <w:rsid w:val="009A5424"/>
    <w:rsid w:val="009A56C1"/>
    <w:rsid w:val="009B1C0E"/>
    <w:rsid w:val="009B240A"/>
    <w:rsid w:val="009B33C2"/>
    <w:rsid w:val="009B49A7"/>
    <w:rsid w:val="009B5A79"/>
    <w:rsid w:val="009B5B6B"/>
    <w:rsid w:val="009B5F28"/>
    <w:rsid w:val="009B66C3"/>
    <w:rsid w:val="009B686B"/>
    <w:rsid w:val="009B70D4"/>
    <w:rsid w:val="009C12C8"/>
    <w:rsid w:val="009C2300"/>
    <w:rsid w:val="009C23AD"/>
    <w:rsid w:val="009C2B98"/>
    <w:rsid w:val="009C4261"/>
    <w:rsid w:val="009C78FB"/>
    <w:rsid w:val="009C7FC3"/>
    <w:rsid w:val="009D00D8"/>
    <w:rsid w:val="009D56FE"/>
    <w:rsid w:val="009D7B4D"/>
    <w:rsid w:val="009E0A48"/>
    <w:rsid w:val="009E12D3"/>
    <w:rsid w:val="009E1E44"/>
    <w:rsid w:val="009E2451"/>
    <w:rsid w:val="009E2B1A"/>
    <w:rsid w:val="009E3116"/>
    <w:rsid w:val="009E4AA1"/>
    <w:rsid w:val="009F4AF6"/>
    <w:rsid w:val="009F6DC2"/>
    <w:rsid w:val="009F7541"/>
    <w:rsid w:val="009F7D1E"/>
    <w:rsid w:val="00A046A4"/>
    <w:rsid w:val="00A060CD"/>
    <w:rsid w:val="00A11934"/>
    <w:rsid w:val="00A128AA"/>
    <w:rsid w:val="00A13EEE"/>
    <w:rsid w:val="00A16B3B"/>
    <w:rsid w:val="00A17383"/>
    <w:rsid w:val="00A17839"/>
    <w:rsid w:val="00A235CD"/>
    <w:rsid w:val="00A23B03"/>
    <w:rsid w:val="00A2605D"/>
    <w:rsid w:val="00A26363"/>
    <w:rsid w:val="00A26749"/>
    <w:rsid w:val="00A27CE4"/>
    <w:rsid w:val="00A309BC"/>
    <w:rsid w:val="00A30C1C"/>
    <w:rsid w:val="00A313F2"/>
    <w:rsid w:val="00A358F2"/>
    <w:rsid w:val="00A359C4"/>
    <w:rsid w:val="00A37D15"/>
    <w:rsid w:val="00A41461"/>
    <w:rsid w:val="00A41BA2"/>
    <w:rsid w:val="00A41C87"/>
    <w:rsid w:val="00A46744"/>
    <w:rsid w:val="00A50E91"/>
    <w:rsid w:val="00A50FF5"/>
    <w:rsid w:val="00A57078"/>
    <w:rsid w:val="00A61129"/>
    <w:rsid w:val="00A615FA"/>
    <w:rsid w:val="00A64DB1"/>
    <w:rsid w:val="00A71CFA"/>
    <w:rsid w:val="00A75ADF"/>
    <w:rsid w:val="00A80461"/>
    <w:rsid w:val="00A808C7"/>
    <w:rsid w:val="00A81012"/>
    <w:rsid w:val="00A81834"/>
    <w:rsid w:val="00A83B75"/>
    <w:rsid w:val="00A83D1C"/>
    <w:rsid w:val="00A86483"/>
    <w:rsid w:val="00A908D7"/>
    <w:rsid w:val="00A91C10"/>
    <w:rsid w:val="00A94148"/>
    <w:rsid w:val="00A94B4C"/>
    <w:rsid w:val="00AA09F6"/>
    <w:rsid w:val="00AB4D23"/>
    <w:rsid w:val="00AB5E92"/>
    <w:rsid w:val="00AB7351"/>
    <w:rsid w:val="00AB7383"/>
    <w:rsid w:val="00AC14C6"/>
    <w:rsid w:val="00AC206F"/>
    <w:rsid w:val="00AC2DDF"/>
    <w:rsid w:val="00AC7043"/>
    <w:rsid w:val="00AD3212"/>
    <w:rsid w:val="00AD496C"/>
    <w:rsid w:val="00AD596E"/>
    <w:rsid w:val="00AD64FF"/>
    <w:rsid w:val="00AD7D81"/>
    <w:rsid w:val="00AE0B5D"/>
    <w:rsid w:val="00AE11D8"/>
    <w:rsid w:val="00AE2336"/>
    <w:rsid w:val="00AE24D6"/>
    <w:rsid w:val="00AE2D5F"/>
    <w:rsid w:val="00AE62E8"/>
    <w:rsid w:val="00AE6676"/>
    <w:rsid w:val="00AF0317"/>
    <w:rsid w:val="00AF28C3"/>
    <w:rsid w:val="00AF465D"/>
    <w:rsid w:val="00AF5A0B"/>
    <w:rsid w:val="00B00DCF"/>
    <w:rsid w:val="00B01853"/>
    <w:rsid w:val="00B03380"/>
    <w:rsid w:val="00B04927"/>
    <w:rsid w:val="00B060F7"/>
    <w:rsid w:val="00B0650B"/>
    <w:rsid w:val="00B13B03"/>
    <w:rsid w:val="00B14ED9"/>
    <w:rsid w:val="00B20748"/>
    <w:rsid w:val="00B23C1A"/>
    <w:rsid w:val="00B242E5"/>
    <w:rsid w:val="00B247D3"/>
    <w:rsid w:val="00B27553"/>
    <w:rsid w:val="00B277CD"/>
    <w:rsid w:val="00B303A2"/>
    <w:rsid w:val="00B306CE"/>
    <w:rsid w:val="00B320CA"/>
    <w:rsid w:val="00B32C3C"/>
    <w:rsid w:val="00B33760"/>
    <w:rsid w:val="00B33D32"/>
    <w:rsid w:val="00B34D13"/>
    <w:rsid w:val="00B363DA"/>
    <w:rsid w:val="00B434DB"/>
    <w:rsid w:val="00B437B1"/>
    <w:rsid w:val="00B43E7D"/>
    <w:rsid w:val="00B44380"/>
    <w:rsid w:val="00B44616"/>
    <w:rsid w:val="00B455F2"/>
    <w:rsid w:val="00B52BC4"/>
    <w:rsid w:val="00B53C55"/>
    <w:rsid w:val="00B54603"/>
    <w:rsid w:val="00B5496E"/>
    <w:rsid w:val="00B55565"/>
    <w:rsid w:val="00B57A4B"/>
    <w:rsid w:val="00B6003C"/>
    <w:rsid w:val="00B6351E"/>
    <w:rsid w:val="00B64EDB"/>
    <w:rsid w:val="00B65E14"/>
    <w:rsid w:val="00B67030"/>
    <w:rsid w:val="00B67A4E"/>
    <w:rsid w:val="00B70BB4"/>
    <w:rsid w:val="00B718C0"/>
    <w:rsid w:val="00B72DCA"/>
    <w:rsid w:val="00B75B37"/>
    <w:rsid w:val="00B765B8"/>
    <w:rsid w:val="00B76CA6"/>
    <w:rsid w:val="00B77357"/>
    <w:rsid w:val="00B827FA"/>
    <w:rsid w:val="00B83799"/>
    <w:rsid w:val="00B8487E"/>
    <w:rsid w:val="00B91BB3"/>
    <w:rsid w:val="00B92139"/>
    <w:rsid w:val="00B94B28"/>
    <w:rsid w:val="00B960AD"/>
    <w:rsid w:val="00B96650"/>
    <w:rsid w:val="00B96950"/>
    <w:rsid w:val="00B96ABD"/>
    <w:rsid w:val="00B96EA6"/>
    <w:rsid w:val="00B97808"/>
    <w:rsid w:val="00BA00AB"/>
    <w:rsid w:val="00BA3C05"/>
    <w:rsid w:val="00BA47D8"/>
    <w:rsid w:val="00BB2D74"/>
    <w:rsid w:val="00BB37C4"/>
    <w:rsid w:val="00BB4481"/>
    <w:rsid w:val="00BB6145"/>
    <w:rsid w:val="00BB772A"/>
    <w:rsid w:val="00BC1BD1"/>
    <w:rsid w:val="00BC25DF"/>
    <w:rsid w:val="00BC2DFE"/>
    <w:rsid w:val="00BC3220"/>
    <w:rsid w:val="00BC41DD"/>
    <w:rsid w:val="00BC589E"/>
    <w:rsid w:val="00BC760F"/>
    <w:rsid w:val="00BC76FF"/>
    <w:rsid w:val="00BC7934"/>
    <w:rsid w:val="00BC7EFF"/>
    <w:rsid w:val="00BD03DC"/>
    <w:rsid w:val="00BD0BC1"/>
    <w:rsid w:val="00BD4AF6"/>
    <w:rsid w:val="00BD7CEB"/>
    <w:rsid w:val="00BD7EFD"/>
    <w:rsid w:val="00BE40AA"/>
    <w:rsid w:val="00BE5337"/>
    <w:rsid w:val="00BE6B1E"/>
    <w:rsid w:val="00BF0042"/>
    <w:rsid w:val="00BF0445"/>
    <w:rsid w:val="00BF0D18"/>
    <w:rsid w:val="00BF1CB7"/>
    <w:rsid w:val="00BF5EB9"/>
    <w:rsid w:val="00BF61C1"/>
    <w:rsid w:val="00BF68E5"/>
    <w:rsid w:val="00BF7772"/>
    <w:rsid w:val="00C00FD8"/>
    <w:rsid w:val="00C02600"/>
    <w:rsid w:val="00C13B30"/>
    <w:rsid w:val="00C1432F"/>
    <w:rsid w:val="00C1528C"/>
    <w:rsid w:val="00C169C8"/>
    <w:rsid w:val="00C20AED"/>
    <w:rsid w:val="00C23E1F"/>
    <w:rsid w:val="00C26810"/>
    <w:rsid w:val="00C32FCA"/>
    <w:rsid w:val="00C3454D"/>
    <w:rsid w:val="00C3554B"/>
    <w:rsid w:val="00C35E70"/>
    <w:rsid w:val="00C36674"/>
    <w:rsid w:val="00C4023B"/>
    <w:rsid w:val="00C408BA"/>
    <w:rsid w:val="00C4346C"/>
    <w:rsid w:val="00C44529"/>
    <w:rsid w:val="00C47C5E"/>
    <w:rsid w:val="00C50B56"/>
    <w:rsid w:val="00C51BDB"/>
    <w:rsid w:val="00C53A8E"/>
    <w:rsid w:val="00C55686"/>
    <w:rsid w:val="00C570B9"/>
    <w:rsid w:val="00C60956"/>
    <w:rsid w:val="00C60CC4"/>
    <w:rsid w:val="00C64E9A"/>
    <w:rsid w:val="00C7003B"/>
    <w:rsid w:val="00C729CD"/>
    <w:rsid w:val="00C76938"/>
    <w:rsid w:val="00C81718"/>
    <w:rsid w:val="00C85C06"/>
    <w:rsid w:val="00C97636"/>
    <w:rsid w:val="00CA1D80"/>
    <w:rsid w:val="00CA37F8"/>
    <w:rsid w:val="00CB2294"/>
    <w:rsid w:val="00CB3FDD"/>
    <w:rsid w:val="00CB458E"/>
    <w:rsid w:val="00CB48D2"/>
    <w:rsid w:val="00CB59A1"/>
    <w:rsid w:val="00CB5B13"/>
    <w:rsid w:val="00CC0092"/>
    <w:rsid w:val="00CC1499"/>
    <w:rsid w:val="00CC15E2"/>
    <w:rsid w:val="00CC3863"/>
    <w:rsid w:val="00CC5404"/>
    <w:rsid w:val="00CD13C1"/>
    <w:rsid w:val="00CD158A"/>
    <w:rsid w:val="00CD3DD7"/>
    <w:rsid w:val="00CD3F08"/>
    <w:rsid w:val="00CD4E31"/>
    <w:rsid w:val="00CE05EC"/>
    <w:rsid w:val="00CE13CE"/>
    <w:rsid w:val="00CE3C66"/>
    <w:rsid w:val="00CE533E"/>
    <w:rsid w:val="00CE53D1"/>
    <w:rsid w:val="00CE57FA"/>
    <w:rsid w:val="00CE6458"/>
    <w:rsid w:val="00CE6BC7"/>
    <w:rsid w:val="00CF03A0"/>
    <w:rsid w:val="00CF1B26"/>
    <w:rsid w:val="00CF74E4"/>
    <w:rsid w:val="00CF7587"/>
    <w:rsid w:val="00D002D6"/>
    <w:rsid w:val="00D00AFD"/>
    <w:rsid w:val="00D046E5"/>
    <w:rsid w:val="00D04DDA"/>
    <w:rsid w:val="00D05342"/>
    <w:rsid w:val="00D0563F"/>
    <w:rsid w:val="00D07303"/>
    <w:rsid w:val="00D07A62"/>
    <w:rsid w:val="00D127A2"/>
    <w:rsid w:val="00D13314"/>
    <w:rsid w:val="00D13781"/>
    <w:rsid w:val="00D14553"/>
    <w:rsid w:val="00D16ABC"/>
    <w:rsid w:val="00D16D0C"/>
    <w:rsid w:val="00D2097B"/>
    <w:rsid w:val="00D20C2B"/>
    <w:rsid w:val="00D21D24"/>
    <w:rsid w:val="00D21F4F"/>
    <w:rsid w:val="00D22026"/>
    <w:rsid w:val="00D23DD4"/>
    <w:rsid w:val="00D32128"/>
    <w:rsid w:val="00D32283"/>
    <w:rsid w:val="00D338A9"/>
    <w:rsid w:val="00D344D4"/>
    <w:rsid w:val="00D43825"/>
    <w:rsid w:val="00D4413E"/>
    <w:rsid w:val="00D443D2"/>
    <w:rsid w:val="00D449B6"/>
    <w:rsid w:val="00D46513"/>
    <w:rsid w:val="00D47B37"/>
    <w:rsid w:val="00D54F02"/>
    <w:rsid w:val="00D55805"/>
    <w:rsid w:val="00D55B76"/>
    <w:rsid w:val="00D55B8B"/>
    <w:rsid w:val="00D63DA8"/>
    <w:rsid w:val="00D65539"/>
    <w:rsid w:val="00D66242"/>
    <w:rsid w:val="00D6633A"/>
    <w:rsid w:val="00D6779D"/>
    <w:rsid w:val="00D7013A"/>
    <w:rsid w:val="00D70A63"/>
    <w:rsid w:val="00D82E55"/>
    <w:rsid w:val="00D8330D"/>
    <w:rsid w:val="00D85BB5"/>
    <w:rsid w:val="00D86DC9"/>
    <w:rsid w:val="00D86E09"/>
    <w:rsid w:val="00D8790A"/>
    <w:rsid w:val="00D938B6"/>
    <w:rsid w:val="00DA0727"/>
    <w:rsid w:val="00DA30EE"/>
    <w:rsid w:val="00DA62C9"/>
    <w:rsid w:val="00DA7386"/>
    <w:rsid w:val="00DA73B4"/>
    <w:rsid w:val="00DA7739"/>
    <w:rsid w:val="00DB26DE"/>
    <w:rsid w:val="00DC1259"/>
    <w:rsid w:val="00DC1560"/>
    <w:rsid w:val="00DD0161"/>
    <w:rsid w:val="00DD12A4"/>
    <w:rsid w:val="00DD2390"/>
    <w:rsid w:val="00DD23C9"/>
    <w:rsid w:val="00DD2D21"/>
    <w:rsid w:val="00DD2D5D"/>
    <w:rsid w:val="00DD6FE3"/>
    <w:rsid w:val="00DE1080"/>
    <w:rsid w:val="00DE1B59"/>
    <w:rsid w:val="00DE35CE"/>
    <w:rsid w:val="00DE5F54"/>
    <w:rsid w:val="00DE6000"/>
    <w:rsid w:val="00DE7E85"/>
    <w:rsid w:val="00DF077D"/>
    <w:rsid w:val="00DF460A"/>
    <w:rsid w:val="00DF4761"/>
    <w:rsid w:val="00DF48B9"/>
    <w:rsid w:val="00DF4C29"/>
    <w:rsid w:val="00DF625B"/>
    <w:rsid w:val="00DF66CB"/>
    <w:rsid w:val="00DF715B"/>
    <w:rsid w:val="00DF715D"/>
    <w:rsid w:val="00DF7EFB"/>
    <w:rsid w:val="00E0030E"/>
    <w:rsid w:val="00E0082D"/>
    <w:rsid w:val="00E033D5"/>
    <w:rsid w:val="00E036AD"/>
    <w:rsid w:val="00E04098"/>
    <w:rsid w:val="00E0451D"/>
    <w:rsid w:val="00E0451E"/>
    <w:rsid w:val="00E0539E"/>
    <w:rsid w:val="00E05FB4"/>
    <w:rsid w:val="00E12A59"/>
    <w:rsid w:val="00E140F6"/>
    <w:rsid w:val="00E15CD0"/>
    <w:rsid w:val="00E15DDE"/>
    <w:rsid w:val="00E208A0"/>
    <w:rsid w:val="00E22820"/>
    <w:rsid w:val="00E2522E"/>
    <w:rsid w:val="00E25C22"/>
    <w:rsid w:val="00E31097"/>
    <w:rsid w:val="00E3462F"/>
    <w:rsid w:val="00E35C6F"/>
    <w:rsid w:val="00E41D31"/>
    <w:rsid w:val="00E42D4A"/>
    <w:rsid w:val="00E447DD"/>
    <w:rsid w:val="00E45303"/>
    <w:rsid w:val="00E45942"/>
    <w:rsid w:val="00E46791"/>
    <w:rsid w:val="00E50FF6"/>
    <w:rsid w:val="00E5113B"/>
    <w:rsid w:val="00E5143A"/>
    <w:rsid w:val="00E54742"/>
    <w:rsid w:val="00E5628E"/>
    <w:rsid w:val="00E57B94"/>
    <w:rsid w:val="00E60DD9"/>
    <w:rsid w:val="00E62C73"/>
    <w:rsid w:val="00E62FC1"/>
    <w:rsid w:val="00E65820"/>
    <w:rsid w:val="00E672F4"/>
    <w:rsid w:val="00E7053B"/>
    <w:rsid w:val="00E70DD4"/>
    <w:rsid w:val="00E72019"/>
    <w:rsid w:val="00E7225E"/>
    <w:rsid w:val="00E7255F"/>
    <w:rsid w:val="00E732CB"/>
    <w:rsid w:val="00E7679A"/>
    <w:rsid w:val="00E768C9"/>
    <w:rsid w:val="00E7776E"/>
    <w:rsid w:val="00E84121"/>
    <w:rsid w:val="00E850F5"/>
    <w:rsid w:val="00E85214"/>
    <w:rsid w:val="00E853D1"/>
    <w:rsid w:val="00E8547B"/>
    <w:rsid w:val="00E866FC"/>
    <w:rsid w:val="00E87E47"/>
    <w:rsid w:val="00E91DEC"/>
    <w:rsid w:val="00E952E8"/>
    <w:rsid w:val="00EA090E"/>
    <w:rsid w:val="00EA09D2"/>
    <w:rsid w:val="00EA0B32"/>
    <w:rsid w:val="00EA1AF7"/>
    <w:rsid w:val="00EA2E75"/>
    <w:rsid w:val="00EA4BF4"/>
    <w:rsid w:val="00EA55C8"/>
    <w:rsid w:val="00EA58FB"/>
    <w:rsid w:val="00EA7E08"/>
    <w:rsid w:val="00EB004C"/>
    <w:rsid w:val="00EB303D"/>
    <w:rsid w:val="00EB330F"/>
    <w:rsid w:val="00EB345A"/>
    <w:rsid w:val="00EB38B3"/>
    <w:rsid w:val="00EB3DA9"/>
    <w:rsid w:val="00EB4215"/>
    <w:rsid w:val="00EB519D"/>
    <w:rsid w:val="00EB5659"/>
    <w:rsid w:val="00EB6328"/>
    <w:rsid w:val="00EC04BE"/>
    <w:rsid w:val="00EC06B1"/>
    <w:rsid w:val="00EC10EF"/>
    <w:rsid w:val="00EC2D18"/>
    <w:rsid w:val="00EC3F81"/>
    <w:rsid w:val="00EC4614"/>
    <w:rsid w:val="00EC545C"/>
    <w:rsid w:val="00ED25DC"/>
    <w:rsid w:val="00ED29D4"/>
    <w:rsid w:val="00ED3443"/>
    <w:rsid w:val="00ED3DE9"/>
    <w:rsid w:val="00ED552C"/>
    <w:rsid w:val="00ED70B6"/>
    <w:rsid w:val="00ED7D30"/>
    <w:rsid w:val="00EE16FB"/>
    <w:rsid w:val="00EE182F"/>
    <w:rsid w:val="00EE232B"/>
    <w:rsid w:val="00EE7CBF"/>
    <w:rsid w:val="00EF1485"/>
    <w:rsid w:val="00EF2016"/>
    <w:rsid w:val="00EF2DFB"/>
    <w:rsid w:val="00EF6483"/>
    <w:rsid w:val="00EF69E6"/>
    <w:rsid w:val="00EF71AF"/>
    <w:rsid w:val="00F005CC"/>
    <w:rsid w:val="00F00BD3"/>
    <w:rsid w:val="00F01EB0"/>
    <w:rsid w:val="00F02952"/>
    <w:rsid w:val="00F03041"/>
    <w:rsid w:val="00F0699C"/>
    <w:rsid w:val="00F06DA7"/>
    <w:rsid w:val="00F073BE"/>
    <w:rsid w:val="00F116A9"/>
    <w:rsid w:val="00F11933"/>
    <w:rsid w:val="00F14108"/>
    <w:rsid w:val="00F16034"/>
    <w:rsid w:val="00F16C93"/>
    <w:rsid w:val="00F20588"/>
    <w:rsid w:val="00F211B1"/>
    <w:rsid w:val="00F219F3"/>
    <w:rsid w:val="00F23430"/>
    <w:rsid w:val="00F25205"/>
    <w:rsid w:val="00F26DFA"/>
    <w:rsid w:val="00F30B51"/>
    <w:rsid w:val="00F31FA6"/>
    <w:rsid w:val="00F420B6"/>
    <w:rsid w:val="00F61AAB"/>
    <w:rsid w:val="00F61F82"/>
    <w:rsid w:val="00F66EA2"/>
    <w:rsid w:val="00F70059"/>
    <w:rsid w:val="00F709A9"/>
    <w:rsid w:val="00F71F80"/>
    <w:rsid w:val="00F73628"/>
    <w:rsid w:val="00F740C3"/>
    <w:rsid w:val="00F82504"/>
    <w:rsid w:val="00F85179"/>
    <w:rsid w:val="00F85B44"/>
    <w:rsid w:val="00F863B8"/>
    <w:rsid w:val="00F8669A"/>
    <w:rsid w:val="00F86FA5"/>
    <w:rsid w:val="00F90E47"/>
    <w:rsid w:val="00F90F66"/>
    <w:rsid w:val="00F912FA"/>
    <w:rsid w:val="00F91418"/>
    <w:rsid w:val="00F937D7"/>
    <w:rsid w:val="00F97F16"/>
    <w:rsid w:val="00FA2A3C"/>
    <w:rsid w:val="00FA4417"/>
    <w:rsid w:val="00FB0D06"/>
    <w:rsid w:val="00FC2BAF"/>
    <w:rsid w:val="00FC3400"/>
    <w:rsid w:val="00FC6BB4"/>
    <w:rsid w:val="00FD1A52"/>
    <w:rsid w:val="00FD46AB"/>
    <w:rsid w:val="00FD488A"/>
    <w:rsid w:val="00FD7793"/>
    <w:rsid w:val="00FD7FE0"/>
    <w:rsid w:val="00FE183D"/>
    <w:rsid w:val="00FE21F8"/>
    <w:rsid w:val="00FE3BC3"/>
    <w:rsid w:val="00FE5E99"/>
    <w:rsid w:val="00FF0DE2"/>
    <w:rsid w:val="00FF108F"/>
    <w:rsid w:val="00FF385D"/>
    <w:rsid w:val="00FF3DEB"/>
    <w:rsid w:val="00FF4B8D"/>
    <w:rsid w:val="00FF5470"/>
    <w:rsid w:val="00FF5ABD"/>
    <w:rsid w:val="00FF68FE"/>
    <w:rsid w:val="00FF7B0D"/>
    <w:rsid w:val="00FF7D1C"/>
    <w:rsid w:val="00FF7F08"/>
  </w:rsids>
  <m:mathPr>
    <m:mathFont m:val="Cambria Math"/>
    <m:brkBin m:val="before"/>
    <m:brkBinSub m:val="--"/>
    <m:smallFrac m:val="off"/>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B26"/>
    <w:rPr>
      <w:sz w:val="24"/>
      <w:szCs w:val="24"/>
      <w:lang w:val="en-US" w:eastAsia="en-US"/>
    </w:rPr>
  </w:style>
  <w:style w:type="paragraph" w:styleId="Heading1">
    <w:name w:val="heading 1"/>
    <w:basedOn w:val="Normal"/>
    <w:next w:val="Normal"/>
    <w:link w:val="Heading1Char"/>
    <w:uiPriority w:val="9"/>
    <w:qFormat/>
    <w:rsid w:val="009C78FB"/>
    <w:pPr>
      <w:keepNext/>
      <w:keepLines/>
      <w:numPr>
        <w:numId w:val="17"/>
      </w:numPr>
      <w:suppressAutoHyphens/>
      <w:jc w:val="both"/>
      <w:outlineLvl w:val="0"/>
    </w:pPr>
    <w:rPr>
      <w:rFonts w:ascii="Arial" w:eastAsiaTheme="majorEastAsia" w:hAnsi="Arial" w:cstheme="majorBidi"/>
      <w:b/>
      <w:bCs/>
      <w:kern w:val="1"/>
      <w:sz w:val="26"/>
      <w:szCs w:val="28"/>
      <w:lang w:eastAsia="ar-SA"/>
    </w:rPr>
  </w:style>
  <w:style w:type="paragraph" w:styleId="Heading2">
    <w:name w:val="heading 2"/>
    <w:basedOn w:val="Normal"/>
    <w:next w:val="Normal"/>
    <w:link w:val="Heading2Char"/>
    <w:uiPriority w:val="9"/>
    <w:unhideWhenUsed/>
    <w:qFormat/>
    <w:rsid w:val="009C78FB"/>
    <w:pPr>
      <w:keepNext/>
      <w:keepLines/>
      <w:numPr>
        <w:ilvl w:val="1"/>
        <w:numId w:val="17"/>
      </w:numPr>
      <w:suppressAutoHyphens/>
      <w:jc w:val="both"/>
      <w:outlineLvl w:val="1"/>
    </w:pPr>
    <w:rPr>
      <w:rFonts w:ascii="Arial" w:eastAsiaTheme="majorEastAsia" w:hAnsi="Arial" w:cstheme="majorBidi"/>
      <w:b/>
      <w:bCs/>
      <w:kern w:val="1"/>
      <w:sz w:val="22"/>
      <w:szCs w:val="26"/>
      <w:lang w:eastAsia="ar-SA"/>
    </w:rPr>
  </w:style>
  <w:style w:type="paragraph" w:styleId="Heading3">
    <w:name w:val="heading 3"/>
    <w:basedOn w:val="Normal"/>
    <w:next w:val="Normal"/>
    <w:link w:val="Heading3Char"/>
    <w:uiPriority w:val="9"/>
    <w:unhideWhenUsed/>
    <w:qFormat/>
    <w:rsid w:val="009C78FB"/>
    <w:pPr>
      <w:keepNext/>
      <w:keepLines/>
      <w:numPr>
        <w:ilvl w:val="2"/>
        <w:numId w:val="17"/>
      </w:numPr>
      <w:suppressAutoHyphens/>
      <w:spacing w:before="200"/>
      <w:jc w:val="both"/>
      <w:outlineLvl w:val="2"/>
    </w:pPr>
    <w:rPr>
      <w:rFonts w:asciiTheme="majorHAnsi" w:eastAsiaTheme="majorEastAsia" w:hAnsiTheme="majorHAnsi" w:cstheme="majorBidi"/>
      <w:b/>
      <w:bCs/>
      <w:color w:val="4F81BD" w:themeColor="accent1"/>
      <w:kern w:val="1"/>
      <w:sz w:val="22"/>
      <w:lang w:eastAsia="ar-SA"/>
    </w:rPr>
  </w:style>
  <w:style w:type="paragraph" w:styleId="Heading4">
    <w:name w:val="heading 4"/>
    <w:basedOn w:val="Normal"/>
    <w:next w:val="Normal"/>
    <w:link w:val="Heading4Char"/>
    <w:uiPriority w:val="9"/>
    <w:semiHidden/>
    <w:unhideWhenUsed/>
    <w:qFormat/>
    <w:rsid w:val="009C78FB"/>
    <w:pPr>
      <w:keepNext/>
      <w:keepLines/>
      <w:numPr>
        <w:ilvl w:val="3"/>
        <w:numId w:val="17"/>
      </w:numPr>
      <w:suppressAutoHyphens/>
      <w:spacing w:before="200"/>
      <w:jc w:val="both"/>
      <w:outlineLvl w:val="3"/>
    </w:pPr>
    <w:rPr>
      <w:rFonts w:asciiTheme="majorHAnsi" w:eastAsiaTheme="majorEastAsia" w:hAnsiTheme="majorHAnsi" w:cstheme="majorBidi"/>
      <w:b/>
      <w:bCs/>
      <w:i/>
      <w:iCs/>
      <w:color w:val="4F81BD" w:themeColor="accent1"/>
      <w:kern w:val="1"/>
      <w:sz w:val="22"/>
      <w:lang w:eastAsia="ar-SA"/>
    </w:rPr>
  </w:style>
  <w:style w:type="paragraph" w:styleId="Heading5">
    <w:name w:val="heading 5"/>
    <w:basedOn w:val="Normal"/>
    <w:next w:val="Normal"/>
    <w:link w:val="Heading5Char"/>
    <w:uiPriority w:val="9"/>
    <w:semiHidden/>
    <w:unhideWhenUsed/>
    <w:qFormat/>
    <w:rsid w:val="009C78FB"/>
    <w:pPr>
      <w:keepNext/>
      <w:keepLines/>
      <w:numPr>
        <w:ilvl w:val="4"/>
        <w:numId w:val="17"/>
      </w:numPr>
      <w:suppressAutoHyphens/>
      <w:spacing w:before="200"/>
      <w:jc w:val="both"/>
      <w:outlineLvl w:val="4"/>
    </w:pPr>
    <w:rPr>
      <w:rFonts w:asciiTheme="majorHAnsi" w:eastAsiaTheme="majorEastAsia" w:hAnsiTheme="majorHAnsi" w:cstheme="majorBidi"/>
      <w:color w:val="243F60" w:themeColor="accent1" w:themeShade="7F"/>
      <w:kern w:val="1"/>
      <w:sz w:val="22"/>
      <w:lang w:eastAsia="ar-SA"/>
    </w:rPr>
  </w:style>
  <w:style w:type="paragraph" w:styleId="Heading6">
    <w:name w:val="heading 6"/>
    <w:basedOn w:val="Normal"/>
    <w:next w:val="Normal"/>
    <w:link w:val="Heading6Char"/>
    <w:uiPriority w:val="9"/>
    <w:semiHidden/>
    <w:unhideWhenUsed/>
    <w:qFormat/>
    <w:rsid w:val="009C78FB"/>
    <w:pPr>
      <w:keepNext/>
      <w:keepLines/>
      <w:numPr>
        <w:ilvl w:val="5"/>
        <w:numId w:val="17"/>
      </w:numPr>
      <w:suppressAutoHyphens/>
      <w:spacing w:before="200"/>
      <w:jc w:val="both"/>
      <w:outlineLvl w:val="5"/>
    </w:pPr>
    <w:rPr>
      <w:rFonts w:asciiTheme="majorHAnsi" w:eastAsiaTheme="majorEastAsia" w:hAnsiTheme="majorHAnsi" w:cstheme="majorBidi"/>
      <w:i/>
      <w:iCs/>
      <w:color w:val="243F60" w:themeColor="accent1" w:themeShade="7F"/>
      <w:kern w:val="1"/>
      <w:sz w:val="22"/>
      <w:lang w:eastAsia="ar-SA"/>
    </w:rPr>
  </w:style>
  <w:style w:type="paragraph" w:styleId="Heading7">
    <w:name w:val="heading 7"/>
    <w:basedOn w:val="Normal"/>
    <w:next w:val="Normal"/>
    <w:link w:val="Heading7Char"/>
    <w:uiPriority w:val="9"/>
    <w:semiHidden/>
    <w:unhideWhenUsed/>
    <w:qFormat/>
    <w:rsid w:val="009C78FB"/>
    <w:pPr>
      <w:keepNext/>
      <w:keepLines/>
      <w:numPr>
        <w:ilvl w:val="6"/>
        <w:numId w:val="17"/>
      </w:numPr>
      <w:suppressAutoHyphens/>
      <w:spacing w:before="200"/>
      <w:jc w:val="both"/>
      <w:outlineLvl w:val="6"/>
    </w:pPr>
    <w:rPr>
      <w:rFonts w:asciiTheme="majorHAnsi" w:eastAsiaTheme="majorEastAsia" w:hAnsiTheme="majorHAnsi" w:cstheme="majorBidi"/>
      <w:i/>
      <w:iCs/>
      <w:color w:val="404040" w:themeColor="text1" w:themeTint="BF"/>
      <w:kern w:val="1"/>
      <w:sz w:val="22"/>
      <w:lang w:eastAsia="ar-SA"/>
    </w:rPr>
  </w:style>
  <w:style w:type="paragraph" w:styleId="Heading8">
    <w:name w:val="heading 8"/>
    <w:basedOn w:val="Normal"/>
    <w:next w:val="Normal"/>
    <w:link w:val="Heading8Char"/>
    <w:uiPriority w:val="9"/>
    <w:semiHidden/>
    <w:unhideWhenUsed/>
    <w:qFormat/>
    <w:rsid w:val="009C78FB"/>
    <w:pPr>
      <w:keepNext/>
      <w:keepLines/>
      <w:numPr>
        <w:ilvl w:val="7"/>
        <w:numId w:val="17"/>
      </w:numPr>
      <w:suppressAutoHyphens/>
      <w:spacing w:before="200"/>
      <w:jc w:val="both"/>
      <w:outlineLvl w:val="7"/>
    </w:pPr>
    <w:rPr>
      <w:rFonts w:asciiTheme="majorHAnsi" w:eastAsiaTheme="majorEastAsia" w:hAnsiTheme="majorHAnsi" w:cstheme="majorBidi"/>
      <w:color w:val="404040" w:themeColor="text1" w:themeTint="BF"/>
      <w:kern w:val="1"/>
      <w:sz w:val="20"/>
      <w:szCs w:val="20"/>
      <w:lang w:eastAsia="ar-SA"/>
    </w:rPr>
  </w:style>
  <w:style w:type="paragraph" w:styleId="Heading9">
    <w:name w:val="heading 9"/>
    <w:basedOn w:val="Normal"/>
    <w:next w:val="Normal"/>
    <w:link w:val="Heading9Char"/>
    <w:uiPriority w:val="9"/>
    <w:semiHidden/>
    <w:unhideWhenUsed/>
    <w:qFormat/>
    <w:rsid w:val="009C78FB"/>
    <w:pPr>
      <w:keepNext/>
      <w:keepLines/>
      <w:numPr>
        <w:ilvl w:val="8"/>
        <w:numId w:val="17"/>
      </w:numPr>
      <w:suppressAutoHyphens/>
      <w:spacing w:before="200"/>
      <w:jc w:val="both"/>
      <w:outlineLvl w:val="8"/>
    </w:pPr>
    <w:rPr>
      <w:rFonts w:asciiTheme="majorHAnsi" w:eastAsiaTheme="majorEastAsia" w:hAnsiTheme="majorHAnsi" w:cstheme="majorBidi"/>
      <w:i/>
      <w:iCs/>
      <w:color w:val="404040" w:themeColor="text1" w:themeTint="BF"/>
      <w:kern w:val="1"/>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5">
    <w:name w:val="font5"/>
    <w:basedOn w:val="Normal"/>
    <w:rsid w:val="00375658"/>
    <w:pPr>
      <w:spacing w:before="100" w:beforeAutospacing="1" w:after="100" w:afterAutospacing="1"/>
      <w:jc w:val="both"/>
    </w:pPr>
    <w:rPr>
      <w:rFonts w:ascii="Arial" w:eastAsia="Arial Unicode MS" w:hAnsi="Arial"/>
      <w:b/>
      <w:bCs/>
      <w:lang w:val="en-GB"/>
    </w:rPr>
  </w:style>
  <w:style w:type="character" w:styleId="FootnoteReference">
    <w:name w:val="footnote reference"/>
    <w:aliases w:val="Footnote"/>
    <w:basedOn w:val="DefaultParagraphFont"/>
    <w:uiPriority w:val="99"/>
    <w:rsid w:val="00375658"/>
    <w:rPr>
      <w:vertAlign w:val="superscript"/>
    </w:rPr>
  </w:style>
  <w:style w:type="character" w:styleId="Hyperlink">
    <w:name w:val="Hyperlink"/>
    <w:basedOn w:val="DefaultParagraphFont"/>
    <w:rsid w:val="00375658"/>
    <w:rPr>
      <w:color w:val="0000FF"/>
      <w:u w:val="single"/>
    </w:rPr>
  </w:style>
  <w:style w:type="paragraph" w:customStyle="1" w:styleId="xl28">
    <w:name w:val="xl28"/>
    <w:basedOn w:val="Normal"/>
    <w:rsid w:val="00375658"/>
    <w:pPr>
      <w:pBdr>
        <w:left w:val="single" w:sz="4" w:space="0" w:color="auto"/>
      </w:pBdr>
      <w:spacing w:before="100" w:beforeAutospacing="1" w:after="100" w:afterAutospacing="1"/>
      <w:jc w:val="both"/>
    </w:pPr>
    <w:rPr>
      <w:rFonts w:ascii="Arial" w:eastAsia="Arial Unicode MS" w:hAnsi="Arial"/>
      <w:lang w:val="en-GB"/>
    </w:rPr>
  </w:style>
  <w:style w:type="paragraph" w:styleId="FootnoteText">
    <w:name w:val="footnote text"/>
    <w:aliases w:val="Char Char,Footnote Text Char1,Footnote Text Char Char1,Footnote Text Char Char Char,Char Char Char Char,Footnote Text Char1 Char,Footnote Text Char Char1 Char,Char Char Char1 Char, Char Char"/>
    <w:basedOn w:val="Normal"/>
    <w:link w:val="FootnoteTextChar"/>
    <w:rsid w:val="00375658"/>
    <w:rPr>
      <w:sz w:val="20"/>
      <w:szCs w:val="20"/>
    </w:rPr>
  </w:style>
  <w:style w:type="paragraph" w:styleId="BodyTextIndent">
    <w:name w:val="Body Text Indent"/>
    <w:basedOn w:val="Normal"/>
    <w:rsid w:val="00375658"/>
    <w:pPr>
      <w:spacing w:after="120"/>
      <w:ind w:left="283"/>
    </w:pPr>
  </w:style>
  <w:style w:type="paragraph" w:customStyle="1" w:styleId="CharCharChar1">
    <w:name w:val="Char Char Char1"/>
    <w:basedOn w:val="Normal"/>
    <w:rsid w:val="00375658"/>
    <w:pPr>
      <w:spacing w:after="160" w:line="240" w:lineRule="exact"/>
    </w:pPr>
    <w:rPr>
      <w:rFonts w:ascii="Tahoma" w:hAnsi="Tahoma"/>
      <w:sz w:val="20"/>
      <w:szCs w:val="20"/>
    </w:rPr>
  </w:style>
  <w:style w:type="paragraph" w:customStyle="1" w:styleId="Sous-titre1">
    <w:name w:val="Sous-titre 1"/>
    <w:basedOn w:val="Normal"/>
    <w:next w:val="Normal"/>
    <w:autoRedefine/>
    <w:rsid w:val="0014339D"/>
    <w:pPr>
      <w:numPr>
        <w:numId w:val="6"/>
      </w:numPr>
      <w:tabs>
        <w:tab w:val="left" w:pos="360"/>
        <w:tab w:val="left" w:pos="1418"/>
        <w:tab w:val="left" w:pos="1701"/>
        <w:tab w:val="left" w:pos="1985"/>
        <w:tab w:val="left" w:pos="2268"/>
        <w:tab w:val="left" w:pos="2552"/>
        <w:tab w:val="left" w:pos="3119"/>
        <w:tab w:val="left" w:pos="4253"/>
        <w:tab w:val="left" w:pos="5954"/>
        <w:tab w:val="left" w:pos="8222"/>
        <w:tab w:val="right" w:pos="11057"/>
      </w:tabs>
      <w:ind w:left="0" w:firstLine="0"/>
      <w:jc w:val="both"/>
    </w:pPr>
    <w:rPr>
      <w:rFonts w:ascii="Arial" w:hAnsi="Arial" w:cs="Arial"/>
      <w:b/>
      <w:color w:val="000000"/>
      <w:sz w:val="22"/>
      <w:szCs w:val="22"/>
      <w:lang w:val="fr-FR" w:eastAsia="en-GB"/>
    </w:rPr>
  </w:style>
  <w:style w:type="paragraph" w:styleId="Footer">
    <w:name w:val="footer"/>
    <w:basedOn w:val="Normal"/>
    <w:rsid w:val="00375658"/>
    <w:pPr>
      <w:tabs>
        <w:tab w:val="center" w:pos="4320"/>
        <w:tab w:val="right" w:pos="8640"/>
      </w:tabs>
    </w:pPr>
  </w:style>
  <w:style w:type="character" w:styleId="PageNumber">
    <w:name w:val="page number"/>
    <w:basedOn w:val="DefaultParagraphFont"/>
    <w:rsid w:val="00375658"/>
  </w:style>
  <w:style w:type="paragraph" w:customStyle="1" w:styleId="Car">
    <w:name w:val="Car"/>
    <w:basedOn w:val="Normal"/>
    <w:rsid w:val="0043174A"/>
    <w:pPr>
      <w:spacing w:after="160" w:line="240" w:lineRule="exact"/>
    </w:pPr>
    <w:rPr>
      <w:rFonts w:ascii="Tahoma" w:hAnsi="Tahoma"/>
      <w:sz w:val="20"/>
      <w:szCs w:val="20"/>
    </w:rPr>
  </w:style>
  <w:style w:type="paragraph" w:styleId="BodyText">
    <w:name w:val="Body Text"/>
    <w:basedOn w:val="Normal"/>
    <w:rsid w:val="00490DDF"/>
    <w:pPr>
      <w:spacing w:after="120"/>
    </w:pPr>
  </w:style>
  <w:style w:type="paragraph" w:styleId="BalloonText">
    <w:name w:val="Balloon Text"/>
    <w:basedOn w:val="Normal"/>
    <w:semiHidden/>
    <w:rsid w:val="00EB5659"/>
    <w:rPr>
      <w:rFonts w:ascii="Tahoma" w:hAnsi="Tahoma" w:cs="Tahoma"/>
      <w:sz w:val="16"/>
      <w:szCs w:val="16"/>
    </w:rPr>
  </w:style>
  <w:style w:type="paragraph" w:styleId="Header">
    <w:name w:val="header"/>
    <w:basedOn w:val="Normal"/>
    <w:rsid w:val="003C3DCD"/>
    <w:pPr>
      <w:tabs>
        <w:tab w:val="center" w:pos="4320"/>
        <w:tab w:val="right" w:pos="8640"/>
      </w:tabs>
    </w:pPr>
  </w:style>
  <w:style w:type="paragraph" w:customStyle="1" w:styleId="CarCar">
    <w:name w:val="Car Car"/>
    <w:basedOn w:val="Normal"/>
    <w:rsid w:val="00E0082D"/>
    <w:pPr>
      <w:spacing w:after="160" w:line="240" w:lineRule="exact"/>
    </w:pPr>
    <w:rPr>
      <w:rFonts w:ascii="Tahoma" w:hAnsi="Tahoma"/>
      <w:sz w:val="20"/>
      <w:szCs w:val="20"/>
    </w:rPr>
  </w:style>
  <w:style w:type="paragraph" w:customStyle="1" w:styleId="NBP">
    <w:name w:val="NBP"/>
    <w:basedOn w:val="FootnoteText"/>
    <w:qFormat/>
    <w:rsid w:val="009943D3"/>
    <w:pPr>
      <w:suppressAutoHyphens/>
      <w:jc w:val="both"/>
    </w:pPr>
    <w:rPr>
      <w:rFonts w:ascii="Arial" w:hAnsi="Arial" w:cs="Arial"/>
      <w:kern w:val="1"/>
      <w:sz w:val="18"/>
      <w:szCs w:val="18"/>
      <w:lang w:val="fr-LU" w:eastAsia="ar-SA"/>
    </w:rPr>
  </w:style>
  <w:style w:type="table" w:styleId="LightList-Accent4">
    <w:name w:val="Light List Accent 4"/>
    <w:basedOn w:val="TableNormal"/>
    <w:uiPriority w:val="61"/>
    <w:rsid w:val="009943D3"/>
    <w:rPr>
      <w:rFonts w:ascii="Times" w:hAnsi="Times"/>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Heading1Char">
    <w:name w:val="Heading 1 Char"/>
    <w:basedOn w:val="DefaultParagraphFont"/>
    <w:link w:val="Heading1"/>
    <w:uiPriority w:val="9"/>
    <w:rsid w:val="009C78FB"/>
    <w:rPr>
      <w:rFonts w:ascii="Arial" w:eastAsiaTheme="majorEastAsia" w:hAnsi="Arial" w:cstheme="majorBidi"/>
      <w:b/>
      <w:bCs/>
      <w:kern w:val="1"/>
      <w:sz w:val="26"/>
      <w:szCs w:val="28"/>
      <w:lang w:val="en-US" w:eastAsia="ar-SA"/>
    </w:rPr>
  </w:style>
  <w:style w:type="character" w:customStyle="1" w:styleId="Heading2Char">
    <w:name w:val="Heading 2 Char"/>
    <w:basedOn w:val="DefaultParagraphFont"/>
    <w:link w:val="Heading2"/>
    <w:uiPriority w:val="9"/>
    <w:rsid w:val="009C78FB"/>
    <w:rPr>
      <w:rFonts w:ascii="Arial" w:eastAsiaTheme="majorEastAsia" w:hAnsi="Arial" w:cstheme="majorBidi"/>
      <w:b/>
      <w:bCs/>
      <w:kern w:val="1"/>
      <w:sz w:val="22"/>
      <w:szCs w:val="26"/>
      <w:lang w:val="en-US" w:eastAsia="ar-SA"/>
    </w:rPr>
  </w:style>
  <w:style w:type="character" w:customStyle="1" w:styleId="Heading3Char">
    <w:name w:val="Heading 3 Char"/>
    <w:basedOn w:val="DefaultParagraphFont"/>
    <w:link w:val="Heading3"/>
    <w:uiPriority w:val="9"/>
    <w:rsid w:val="009C78FB"/>
    <w:rPr>
      <w:rFonts w:asciiTheme="majorHAnsi" w:eastAsiaTheme="majorEastAsia" w:hAnsiTheme="majorHAnsi" w:cstheme="majorBidi"/>
      <w:b/>
      <w:bCs/>
      <w:color w:val="4F81BD" w:themeColor="accent1"/>
      <w:kern w:val="1"/>
      <w:sz w:val="22"/>
      <w:szCs w:val="24"/>
      <w:lang w:val="en-US" w:eastAsia="ar-SA"/>
    </w:rPr>
  </w:style>
  <w:style w:type="character" w:customStyle="1" w:styleId="Heading4Char">
    <w:name w:val="Heading 4 Char"/>
    <w:basedOn w:val="DefaultParagraphFont"/>
    <w:link w:val="Heading4"/>
    <w:uiPriority w:val="9"/>
    <w:semiHidden/>
    <w:rsid w:val="009C78FB"/>
    <w:rPr>
      <w:rFonts w:asciiTheme="majorHAnsi" w:eastAsiaTheme="majorEastAsia" w:hAnsiTheme="majorHAnsi" w:cstheme="majorBidi"/>
      <w:b/>
      <w:bCs/>
      <w:i/>
      <w:iCs/>
      <w:color w:val="4F81BD" w:themeColor="accent1"/>
      <w:kern w:val="1"/>
      <w:sz w:val="22"/>
      <w:szCs w:val="24"/>
      <w:lang w:val="en-US" w:eastAsia="ar-SA"/>
    </w:rPr>
  </w:style>
  <w:style w:type="character" w:customStyle="1" w:styleId="Heading5Char">
    <w:name w:val="Heading 5 Char"/>
    <w:basedOn w:val="DefaultParagraphFont"/>
    <w:link w:val="Heading5"/>
    <w:uiPriority w:val="9"/>
    <w:semiHidden/>
    <w:rsid w:val="009C78FB"/>
    <w:rPr>
      <w:rFonts w:asciiTheme="majorHAnsi" w:eastAsiaTheme="majorEastAsia" w:hAnsiTheme="majorHAnsi" w:cstheme="majorBidi"/>
      <w:color w:val="243F60" w:themeColor="accent1" w:themeShade="7F"/>
      <w:kern w:val="1"/>
      <w:sz w:val="22"/>
      <w:szCs w:val="24"/>
      <w:lang w:val="en-US" w:eastAsia="ar-SA"/>
    </w:rPr>
  </w:style>
  <w:style w:type="character" w:customStyle="1" w:styleId="Heading6Char">
    <w:name w:val="Heading 6 Char"/>
    <w:basedOn w:val="DefaultParagraphFont"/>
    <w:link w:val="Heading6"/>
    <w:uiPriority w:val="9"/>
    <w:semiHidden/>
    <w:rsid w:val="009C78FB"/>
    <w:rPr>
      <w:rFonts w:asciiTheme="majorHAnsi" w:eastAsiaTheme="majorEastAsia" w:hAnsiTheme="majorHAnsi" w:cstheme="majorBidi"/>
      <w:i/>
      <w:iCs/>
      <w:color w:val="243F60" w:themeColor="accent1" w:themeShade="7F"/>
      <w:kern w:val="1"/>
      <w:sz w:val="22"/>
      <w:szCs w:val="24"/>
      <w:lang w:val="en-US" w:eastAsia="ar-SA"/>
    </w:rPr>
  </w:style>
  <w:style w:type="character" w:customStyle="1" w:styleId="Heading7Char">
    <w:name w:val="Heading 7 Char"/>
    <w:basedOn w:val="DefaultParagraphFont"/>
    <w:link w:val="Heading7"/>
    <w:uiPriority w:val="9"/>
    <w:semiHidden/>
    <w:rsid w:val="009C78FB"/>
    <w:rPr>
      <w:rFonts w:asciiTheme="majorHAnsi" w:eastAsiaTheme="majorEastAsia" w:hAnsiTheme="majorHAnsi" w:cstheme="majorBidi"/>
      <w:i/>
      <w:iCs/>
      <w:color w:val="404040" w:themeColor="text1" w:themeTint="BF"/>
      <w:kern w:val="1"/>
      <w:sz w:val="22"/>
      <w:szCs w:val="24"/>
      <w:lang w:val="en-US" w:eastAsia="ar-SA"/>
    </w:rPr>
  </w:style>
  <w:style w:type="character" w:customStyle="1" w:styleId="Heading8Char">
    <w:name w:val="Heading 8 Char"/>
    <w:basedOn w:val="DefaultParagraphFont"/>
    <w:link w:val="Heading8"/>
    <w:uiPriority w:val="9"/>
    <w:semiHidden/>
    <w:rsid w:val="009C78FB"/>
    <w:rPr>
      <w:rFonts w:asciiTheme="majorHAnsi" w:eastAsiaTheme="majorEastAsia" w:hAnsiTheme="majorHAnsi" w:cstheme="majorBidi"/>
      <w:color w:val="404040" w:themeColor="text1" w:themeTint="BF"/>
      <w:kern w:val="1"/>
      <w:lang w:val="en-US" w:eastAsia="ar-SA"/>
    </w:rPr>
  </w:style>
  <w:style w:type="character" w:customStyle="1" w:styleId="Heading9Char">
    <w:name w:val="Heading 9 Char"/>
    <w:basedOn w:val="DefaultParagraphFont"/>
    <w:link w:val="Heading9"/>
    <w:uiPriority w:val="9"/>
    <w:semiHidden/>
    <w:rsid w:val="009C78FB"/>
    <w:rPr>
      <w:rFonts w:asciiTheme="majorHAnsi" w:eastAsiaTheme="majorEastAsia" w:hAnsiTheme="majorHAnsi" w:cstheme="majorBidi"/>
      <w:i/>
      <w:iCs/>
      <w:color w:val="404040" w:themeColor="text1" w:themeTint="BF"/>
      <w:kern w:val="1"/>
      <w:lang w:val="en-US" w:eastAsia="ar-SA"/>
    </w:rPr>
  </w:style>
  <w:style w:type="paragraph" w:styleId="ListParagraph">
    <w:name w:val="List Paragraph"/>
    <w:basedOn w:val="Normal"/>
    <w:uiPriority w:val="34"/>
    <w:qFormat/>
    <w:rsid w:val="00BF5EB9"/>
    <w:pPr>
      <w:ind w:left="720"/>
      <w:contextualSpacing/>
    </w:pPr>
  </w:style>
  <w:style w:type="paragraph" w:styleId="Caption">
    <w:name w:val="caption"/>
    <w:basedOn w:val="Normal"/>
    <w:next w:val="Normal"/>
    <w:unhideWhenUsed/>
    <w:qFormat/>
    <w:rsid w:val="0087354B"/>
    <w:pPr>
      <w:suppressAutoHyphens/>
      <w:jc w:val="both"/>
    </w:pPr>
    <w:rPr>
      <w:rFonts w:ascii="Arial" w:hAnsi="Arial" w:cs="Arial"/>
      <w:b/>
      <w:bCs/>
      <w:kern w:val="1"/>
      <w:sz w:val="22"/>
      <w:szCs w:val="18"/>
      <w:lang w:eastAsia="ar-SA"/>
    </w:rPr>
  </w:style>
  <w:style w:type="paragraph" w:customStyle="1" w:styleId="CC">
    <w:name w:val="CC"/>
    <w:basedOn w:val="Normal"/>
    <w:qFormat/>
    <w:rsid w:val="00A615FA"/>
    <w:pPr>
      <w:jc w:val="both"/>
    </w:pPr>
    <w:rPr>
      <w:rFonts w:ascii="Arial" w:hAnsi="Arial"/>
      <w:sz w:val="22"/>
      <w:lang w:val="fr-FR"/>
    </w:rPr>
  </w:style>
  <w:style w:type="character" w:customStyle="1" w:styleId="FootnoteTextChar">
    <w:name w:val="Footnote Text Char"/>
    <w:aliases w:val="Char Char Char,Footnote Text Char1 Char1,Footnote Text Char Char1 Char1,Footnote Text Char Char Char Char,Char Char Char Char Char,Footnote Text Char1 Char Char,Footnote Text Char Char1 Char Char,Char Char Char1 Char Char"/>
    <w:basedOn w:val="DefaultParagraphFont"/>
    <w:link w:val="FootnoteText"/>
    <w:rsid w:val="007334DA"/>
    <w:rPr>
      <w:lang w:val="en-US" w:eastAsia="en-US"/>
    </w:rPr>
  </w:style>
  <w:style w:type="paragraph" w:customStyle="1" w:styleId="CDCnormal">
    <w:name w:val="CDC normal"/>
    <w:basedOn w:val="Normal"/>
    <w:qFormat/>
    <w:rsid w:val="0015356E"/>
    <w:pPr>
      <w:suppressAutoHyphens/>
      <w:jc w:val="both"/>
    </w:pPr>
    <w:rPr>
      <w:rFonts w:ascii="Arial" w:hAnsi="Arial" w:cs="Arial"/>
      <w:kern w:val="1"/>
      <w:sz w:val="22"/>
      <w:szCs w:val="22"/>
      <w:lang w:val="fr-FR" w:eastAsia="ar-SA"/>
    </w:rPr>
  </w:style>
</w:styles>
</file>

<file path=word/webSettings.xml><?xml version="1.0" encoding="utf-8"?>
<w:webSettings xmlns:r="http://schemas.openxmlformats.org/officeDocument/2006/relationships" xmlns:w="http://schemas.openxmlformats.org/wordprocessingml/2006/main">
  <w:divs>
    <w:div w:id="341587029">
      <w:bodyDiv w:val="1"/>
      <w:marLeft w:val="0"/>
      <w:marRight w:val="0"/>
      <w:marTop w:val="0"/>
      <w:marBottom w:val="0"/>
      <w:divBdr>
        <w:top w:val="none" w:sz="0" w:space="0" w:color="auto"/>
        <w:left w:val="none" w:sz="0" w:space="0" w:color="auto"/>
        <w:bottom w:val="none" w:sz="0" w:space="0" w:color="auto"/>
        <w:right w:val="none" w:sz="0" w:space="0" w:color="auto"/>
      </w:divBdr>
      <w:divsChild>
        <w:div w:id="2045518674">
          <w:marLeft w:val="0"/>
          <w:marRight w:val="0"/>
          <w:marTop w:val="0"/>
          <w:marBottom w:val="0"/>
          <w:divBdr>
            <w:top w:val="none" w:sz="0" w:space="0" w:color="auto"/>
            <w:left w:val="none" w:sz="0" w:space="0" w:color="auto"/>
            <w:bottom w:val="none" w:sz="0" w:space="0" w:color="auto"/>
            <w:right w:val="none" w:sz="0" w:space="0" w:color="auto"/>
          </w:divBdr>
        </w:div>
      </w:divsChild>
    </w:div>
    <w:div w:id="474682353">
      <w:bodyDiv w:val="1"/>
      <w:marLeft w:val="0"/>
      <w:marRight w:val="0"/>
      <w:marTop w:val="0"/>
      <w:marBottom w:val="0"/>
      <w:divBdr>
        <w:top w:val="none" w:sz="0" w:space="0" w:color="auto"/>
        <w:left w:val="none" w:sz="0" w:space="0" w:color="auto"/>
        <w:bottom w:val="none" w:sz="0" w:space="0" w:color="auto"/>
        <w:right w:val="none" w:sz="0" w:space="0" w:color="auto"/>
      </w:divBdr>
    </w:div>
    <w:div w:id="484322337">
      <w:bodyDiv w:val="1"/>
      <w:marLeft w:val="0"/>
      <w:marRight w:val="0"/>
      <w:marTop w:val="0"/>
      <w:marBottom w:val="0"/>
      <w:divBdr>
        <w:top w:val="none" w:sz="0" w:space="0" w:color="auto"/>
        <w:left w:val="none" w:sz="0" w:space="0" w:color="auto"/>
        <w:bottom w:val="none" w:sz="0" w:space="0" w:color="auto"/>
        <w:right w:val="none" w:sz="0" w:space="0" w:color="auto"/>
      </w:divBdr>
      <w:divsChild>
        <w:div w:id="981735003">
          <w:marLeft w:val="0"/>
          <w:marRight w:val="0"/>
          <w:marTop w:val="0"/>
          <w:marBottom w:val="0"/>
          <w:divBdr>
            <w:top w:val="none" w:sz="0" w:space="0" w:color="auto"/>
            <w:left w:val="none" w:sz="0" w:space="0" w:color="auto"/>
            <w:bottom w:val="none" w:sz="0" w:space="0" w:color="auto"/>
            <w:right w:val="none" w:sz="0" w:space="0" w:color="auto"/>
          </w:divBdr>
        </w:div>
      </w:divsChild>
    </w:div>
    <w:div w:id="648021092">
      <w:bodyDiv w:val="1"/>
      <w:marLeft w:val="0"/>
      <w:marRight w:val="0"/>
      <w:marTop w:val="0"/>
      <w:marBottom w:val="0"/>
      <w:divBdr>
        <w:top w:val="none" w:sz="0" w:space="0" w:color="auto"/>
        <w:left w:val="none" w:sz="0" w:space="0" w:color="auto"/>
        <w:bottom w:val="none" w:sz="0" w:space="0" w:color="auto"/>
        <w:right w:val="none" w:sz="0" w:space="0" w:color="auto"/>
      </w:divBdr>
    </w:div>
    <w:div w:id="809202212">
      <w:bodyDiv w:val="1"/>
      <w:marLeft w:val="0"/>
      <w:marRight w:val="0"/>
      <w:marTop w:val="0"/>
      <w:marBottom w:val="0"/>
      <w:divBdr>
        <w:top w:val="none" w:sz="0" w:space="0" w:color="auto"/>
        <w:left w:val="none" w:sz="0" w:space="0" w:color="auto"/>
        <w:bottom w:val="none" w:sz="0" w:space="0" w:color="auto"/>
        <w:right w:val="none" w:sz="0" w:space="0" w:color="auto"/>
      </w:divBdr>
      <w:divsChild>
        <w:div w:id="1694763116">
          <w:marLeft w:val="0"/>
          <w:marRight w:val="0"/>
          <w:marTop w:val="0"/>
          <w:marBottom w:val="0"/>
          <w:divBdr>
            <w:top w:val="none" w:sz="0" w:space="0" w:color="auto"/>
            <w:left w:val="none" w:sz="0" w:space="0" w:color="auto"/>
            <w:bottom w:val="none" w:sz="0" w:space="0" w:color="auto"/>
            <w:right w:val="none" w:sz="0" w:space="0" w:color="auto"/>
          </w:divBdr>
        </w:div>
      </w:divsChild>
    </w:div>
    <w:div w:id="866144167">
      <w:bodyDiv w:val="1"/>
      <w:marLeft w:val="0"/>
      <w:marRight w:val="0"/>
      <w:marTop w:val="0"/>
      <w:marBottom w:val="0"/>
      <w:divBdr>
        <w:top w:val="none" w:sz="0" w:space="0" w:color="auto"/>
        <w:left w:val="none" w:sz="0" w:space="0" w:color="auto"/>
        <w:bottom w:val="none" w:sz="0" w:space="0" w:color="auto"/>
        <w:right w:val="none" w:sz="0" w:space="0" w:color="auto"/>
      </w:divBdr>
      <w:divsChild>
        <w:div w:id="49380762">
          <w:marLeft w:val="0"/>
          <w:marRight w:val="0"/>
          <w:marTop w:val="0"/>
          <w:marBottom w:val="0"/>
          <w:divBdr>
            <w:top w:val="none" w:sz="0" w:space="0" w:color="auto"/>
            <w:left w:val="none" w:sz="0" w:space="0" w:color="auto"/>
            <w:bottom w:val="none" w:sz="0" w:space="0" w:color="auto"/>
            <w:right w:val="none" w:sz="0" w:space="0" w:color="auto"/>
          </w:divBdr>
        </w:div>
      </w:divsChild>
    </w:div>
    <w:div w:id="1195928127">
      <w:bodyDiv w:val="1"/>
      <w:marLeft w:val="0"/>
      <w:marRight w:val="0"/>
      <w:marTop w:val="0"/>
      <w:marBottom w:val="0"/>
      <w:divBdr>
        <w:top w:val="none" w:sz="0" w:space="0" w:color="auto"/>
        <w:left w:val="none" w:sz="0" w:space="0" w:color="auto"/>
        <w:bottom w:val="none" w:sz="0" w:space="0" w:color="auto"/>
        <w:right w:val="none" w:sz="0" w:space="0" w:color="auto"/>
      </w:divBdr>
      <w:divsChild>
        <w:div w:id="1390887399">
          <w:marLeft w:val="0"/>
          <w:marRight w:val="0"/>
          <w:marTop w:val="0"/>
          <w:marBottom w:val="0"/>
          <w:divBdr>
            <w:top w:val="none" w:sz="0" w:space="0" w:color="auto"/>
            <w:left w:val="none" w:sz="0" w:space="0" w:color="auto"/>
            <w:bottom w:val="none" w:sz="0" w:space="0" w:color="auto"/>
            <w:right w:val="none" w:sz="0" w:space="0" w:color="auto"/>
          </w:divBdr>
        </w:div>
      </w:divsChild>
    </w:div>
    <w:div w:id="1399404421">
      <w:bodyDiv w:val="1"/>
      <w:marLeft w:val="0"/>
      <w:marRight w:val="0"/>
      <w:marTop w:val="0"/>
      <w:marBottom w:val="0"/>
      <w:divBdr>
        <w:top w:val="none" w:sz="0" w:space="0" w:color="auto"/>
        <w:left w:val="none" w:sz="0" w:space="0" w:color="auto"/>
        <w:bottom w:val="none" w:sz="0" w:space="0" w:color="auto"/>
        <w:right w:val="none" w:sz="0" w:space="0" w:color="auto"/>
      </w:divBdr>
      <w:divsChild>
        <w:div w:id="1235554898">
          <w:marLeft w:val="0"/>
          <w:marRight w:val="0"/>
          <w:marTop w:val="0"/>
          <w:marBottom w:val="0"/>
          <w:divBdr>
            <w:top w:val="none" w:sz="0" w:space="0" w:color="auto"/>
            <w:left w:val="none" w:sz="0" w:space="0" w:color="auto"/>
            <w:bottom w:val="none" w:sz="0" w:space="0" w:color="auto"/>
            <w:right w:val="none" w:sz="0" w:space="0" w:color="auto"/>
          </w:divBdr>
        </w:div>
      </w:divsChild>
    </w:div>
    <w:div w:id="1753893134">
      <w:bodyDiv w:val="1"/>
      <w:marLeft w:val="0"/>
      <w:marRight w:val="0"/>
      <w:marTop w:val="0"/>
      <w:marBottom w:val="0"/>
      <w:divBdr>
        <w:top w:val="none" w:sz="0" w:space="0" w:color="auto"/>
        <w:left w:val="none" w:sz="0" w:space="0" w:color="auto"/>
        <w:bottom w:val="none" w:sz="0" w:space="0" w:color="auto"/>
        <w:right w:val="none" w:sz="0" w:space="0" w:color="auto"/>
      </w:divBdr>
    </w:div>
    <w:div w:id="1995327871">
      <w:bodyDiv w:val="1"/>
      <w:marLeft w:val="0"/>
      <w:marRight w:val="0"/>
      <w:marTop w:val="0"/>
      <w:marBottom w:val="0"/>
      <w:divBdr>
        <w:top w:val="none" w:sz="0" w:space="0" w:color="auto"/>
        <w:left w:val="none" w:sz="0" w:space="0" w:color="auto"/>
        <w:bottom w:val="none" w:sz="0" w:space="0" w:color="auto"/>
        <w:right w:val="none" w:sz="0" w:space="0" w:color="auto"/>
      </w:divBdr>
      <w:divsChild>
        <w:div w:id="1379622178">
          <w:marLeft w:val="0"/>
          <w:marRight w:val="0"/>
          <w:marTop w:val="0"/>
          <w:marBottom w:val="0"/>
          <w:divBdr>
            <w:top w:val="none" w:sz="0" w:space="0" w:color="auto"/>
            <w:left w:val="none" w:sz="0" w:space="0" w:color="auto"/>
            <w:bottom w:val="none" w:sz="0" w:space="0" w:color="auto"/>
            <w:right w:val="none" w:sz="0" w:space="0" w:color="auto"/>
          </w:divBdr>
        </w:div>
      </w:divsChild>
    </w:div>
    <w:div w:id="2115202242">
      <w:bodyDiv w:val="1"/>
      <w:marLeft w:val="0"/>
      <w:marRight w:val="0"/>
      <w:marTop w:val="0"/>
      <w:marBottom w:val="0"/>
      <w:divBdr>
        <w:top w:val="none" w:sz="0" w:space="0" w:color="auto"/>
        <w:left w:val="none" w:sz="0" w:space="0" w:color="auto"/>
        <w:bottom w:val="none" w:sz="0" w:space="0" w:color="auto"/>
        <w:right w:val="none" w:sz="0" w:space="0" w:color="auto"/>
      </w:divBdr>
      <w:divsChild>
        <w:div w:id="33428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c.l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co@cc.l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eurochambres.e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hco1\data\ECO\ENQUETE%20EUROCHAMBRES\2011\DOSSIER%20MERKUR\CCH_graphs_dossier_Merkur10_08_11_20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hcofile\data\ECO\ENQUETE%20EUROCHAMBRES\2011\DOSSIER%20MERKUR\GRAPH%20ET%20DONNEES\CCH_EES2012_employmen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LU"/>
  <c:style val="10"/>
  <c:chart>
    <c:plotArea>
      <c:layout/>
      <c:barChart>
        <c:barDir val="bar"/>
        <c:grouping val="clustered"/>
        <c:ser>
          <c:idx val="0"/>
          <c:order val="0"/>
          <c:dPt>
            <c:idx val="0"/>
            <c:spPr>
              <a:solidFill>
                <a:srgbClr val="92D050"/>
              </a:solidFill>
            </c:spPr>
          </c:dPt>
          <c:dPt>
            <c:idx val="1"/>
            <c:spPr>
              <a:solidFill>
                <a:srgbClr val="92D050"/>
              </a:solidFill>
            </c:spPr>
          </c:dPt>
          <c:dPt>
            <c:idx val="2"/>
            <c:spPr>
              <a:solidFill>
                <a:srgbClr val="92D050"/>
              </a:solidFill>
            </c:spPr>
          </c:dPt>
          <c:dPt>
            <c:idx val="4"/>
            <c:spPr>
              <a:solidFill>
                <a:srgbClr val="92D050"/>
              </a:solidFill>
            </c:spPr>
          </c:dPt>
          <c:dPt>
            <c:idx val="5"/>
            <c:spPr>
              <a:solidFill>
                <a:srgbClr val="92D050"/>
              </a:solidFill>
            </c:spPr>
          </c:dPt>
          <c:dPt>
            <c:idx val="6"/>
            <c:spPr>
              <a:solidFill>
                <a:srgbClr val="92D050"/>
              </a:solidFill>
            </c:spPr>
          </c:dPt>
          <c:dPt>
            <c:idx val="8"/>
            <c:spPr>
              <a:solidFill>
                <a:srgbClr val="92D050"/>
              </a:solidFill>
            </c:spPr>
          </c:dPt>
          <c:dPt>
            <c:idx val="9"/>
            <c:spPr>
              <a:solidFill>
                <a:srgbClr val="92D050"/>
              </a:solidFill>
            </c:spPr>
          </c:dPt>
          <c:dPt>
            <c:idx val="10"/>
            <c:spPr>
              <a:solidFill>
                <a:srgbClr val="92D050"/>
              </a:solidFill>
            </c:spPr>
          </c:dPt>
          <c:dLbls>
            <c:dLbl>
              <c:idx val="0"/>
              <c:layout>
                <c:manualLayout>
                  <c:x val="1.4134275618374562E-2"/>
                  <c:y val="-5.939125367921857E-3"/>
                </c:manualLayout>
              </c:layout>
              <c:showVal val="1"/>
            </c:dLbl>
            <c:dLbl>
              <c:idx val="3"/>
              <c:layout>
                <c:manualLayout>
                  <c:x val="1.4134275618374562E-2"/>
                  <c:y val="0"/>
                </c:manualLayout>
              </c:layout>
              <c:showVal val="1"/>
            </c:dLbl>
            <c:dLbl>
              <c:idx val="5"/>
              <c:layout>
                <c:manualLayout>
                  <c:x val="1.5704750687083058E-3"/>
                  <c:y val="-2.9693288601275523E-3"/>
                </c:manualLayout>
              </c:layout>
              <c:showVal val="1"/>
            </c:dLbl>
            <c:dLbl>
              <c:idx val="7"/>
              <c:layout>
                <c:manualLayout>
                  <c:x val="1.4134522937283019E-2"/>
                  <c:y val="4.6764766676549939E-7"/>
                </c:manualLayout>
              </c:layout>
              <c:showVal val="1"/>
            </c:dLbl>
            <c:dLbl>
              <c:idx val="8"/>
              <c:layout>
                <c:manualLayout>
                  <c:x val="3.7691401648998819E-2"/>
                  <c:y val="0"/>
                </c:manualLayout>
              </c:layout>
              <c:showVal val="1"/>
            </c:dLbl>
            <c:dLbl>
              <c:idx val="9"/>
              <c:layout>
                <c:manualLayout>
                  <c:x val="5.0670697964874528E-3"/>
                  <c:y val="-2.9693288601275523E-3"/>
                </c:manualLayout>
              </c:layout>
              <c:showVal val="1"/>
            </c:dLbl>
            <c:dLbl>
              <c:idx val="10"/>
              <c:layout>
                <c:manualLayout>
                  <c:x val="3.6120926580290549E-2"/>
                  <c:y val="-5.9391253679218544E-3"/>
                </c:manualLayout>
              </c:layout>
              <c:showVal val="1"/>
            </c:dLbl>
            <c:dLbl>
              <c:idx val="11"/>
              <c:layout>
                <c:manualLayout>
                  <c:x val="2.1986650961915984E-2"/>
                  <c:y val="0"/>
                </c:manualLayout>
              </c:layout>
              <c:showVal val="1"/>
            </c:dLbl>
            <c:showVal val="1"/>
          </c:dLbls>
          <c:cat>
            <c:multiLvlStrRef>
              <c:f>'Climat prévisions'!$B$19:$C$30</c:f>
              <c:multiLvlStrCache>
                <c:ptCount val="12"/>
                <c:lvl>
                  <c:pt idx="0">
                    <c:v>favorable</c:v>
                  </c:pt>
                  <c:pt idx="1">
                    <c:v>constant</c:v>
                  </c:pt>
                  <c:pt idx="2">
                    <c:v>défavorable</c:v>
                  </c:pt>
                  <c:pt idx="3">
                    <c:v>balance</c:v>
                  </c:pt>
                  <c:pt idx="4">
                    <c:v>favorable</c:v>
                  </c:pt>
                  <c:pt idx="5">
                    <c:v>constant</c:v>
                  </c:pt>
                  <c:pt idx="6">
                    <c:v>défavorable</c:v>
                  </c:pt>
                  <c:pt idx="7">
                    <c:v>balance</c:v>
                  </c:pt>
                  <c:pt idx="8">
                    <c:v>favorable</c:v>
                  </c:pt>
                  <c:pt idx="9">
                    <c:v>constant</c:v>
                  </c:pt>
                  <c:pt idx="10">
                    <c:v>défavorable</c:v>
                  </c:pt>
                  <c:pt idx="11">
                    <c:v>balance</c:v>
                  </c:pt>
                </c:lvl>
                <c:lvl>
                  <c:pt idx="0">
                    <c:v>Economie totale</c:v>
                  </c:pt>
                  <c:pt idx="4">
                    <c:v>Industrie manufacturière</c:v>
                  </c:pt>
                  <c:pt idx="8">
                    <c:v>Services</c:v>
                  </c:pt>
                </c:lvl>
              </c:multiLvlStrCache>
            </c:multiLvlStrRef>
          </c:cat>
          <c:val>
            <c:numRef>
              <c:f>'Climat prévisions'!$D$19:$D$30</c:f>
              <c:numCache>
                <c:formatCode>0.0</c:formatCode>
                <c:ptCount val="12"/>
                <c:pt idx="0">
                  <c:v>12.3</c:v>
                </c:pt>
                <c:pt idx="1">
                  <c:v>57.2</c:v>
                </c:pt>
                <c:pt idx="2">
                  <c:v>30.5</c:v>
                </c:pt>
                <c:pt idx="3">
                  <c:v>-18.2</c:v>
                </c:pt>
                <c:pt idx="4">
                  <c:v>10</c:v>
                </c:pt>
                <c:pt idx="5">
                  <c:v>62.2</c:v>
                </c:pt>
                <c:pt idx="6">
                  <c:v>27.8</c:v>
                </c:pt>
                <c:pt idx="7">
                  <c:v>-17.8</c:v>
                </c:pt>
                <c:pt idx="8">
                  <c:v>13.4</c:v>
                </c:pt>
                <c:pt idx="9">
                  <c:v>54.8</c:v>
                </c:pt>
                <c:pt idx="10">
                  <c:v>31.8</c:v>
                </c:pt>
                <c:pt idx="11">
                  <c:v>-18.399999999999999</c:v>
                </c:pt>
              </c:numCache>
            </c:numRef>
          </c:val>
        </c:ser>
        <c:axId val="64131456"/>
        <c:axId val="64132992"/>
      </c:barChart>
      <c:catAx>
        <c:axId val="64131456"/>
        <c:scaling>
          <c:orientation val="maxMin"/>
        </c:scaling>
        <c:axPos val="l"/>
        <c:tickLblPos val="low"/>
        <c:crossAx val="64132992"/>
        <c:crosses val="autoZero"/>
        <c:auto val="1"/>
        <c:lblAlgn val="ctr"/>
        <c:lblOffset val="100"/>
      </c:catAx>
      <c:valAx>
        <c:axId val="64132992"/>
        <c:scaling>
          <c:orientation val="minMax"/>
        </c:scaling>
        <c:axPos val="t"/>
        <c:majorGridlines>
          <c:spPr>
            <a:ln>
              <a:prstDash val="sysDash"/>
            </a:ln>
          </c:spPr>
        </c:majorGridlines>
        <c:numFmt formatCode="0.0" sourceLinked="1"/>
        <c:tickLblPos val="low"/>
        <c:crossAx val="64131456"/>
        <c:crosses val="autoZero"/>
        <c:crossBetween val="between"/>
      </c:valAx>
      <c:spPr>
        <a:ln>
          <a:solidFill>
            <a:sysClr val="windowText" lastClr="000000"/>
          </a:solidFill>
        </a:ln>
      </c:spPr>
    </c:plotArea>
    <c:plotVisOnly val="1"/>
  </c:chart>
  <c:spPr>
    <a:ln>
      <a:solidFill>
        <a:sysClr val="windowText" lastClr="000000"/>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LU"/>
  <c:chart>
    <c:plotArea>
      <c:layout/>
      <c:lineChart>
        <c:grouping val="standard"/>
        <c:ser>
          <c:idx val="0"/>
          <c:order val="0"/>
          <c:tx>
            <c:v>Balance de résultats de l'emploi - échelle de gauche</c:v>
          </c:tx>
          <c:cat>
            <c:numRef>
              <c:f>'EES2012'!$B$4:$B$19</c:f>
              <c:numCache>
                <c:formatCode>General</c:formatCode>
                <c:ptCount val="16"/>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numCache>
            </c:numRef>
          </c:cat>
          <c:val>
            <c:numRef>
              <c:f>'EES2012'!$C$4:$C$19</c:f>
              <c:numCache>
                <c:formatCode>General</c:formatCode>
                <c:ptCount val="16"/>
                <c:pt idx="0">
                  <c:v>4.7</c:v>
                </c:pt>
                <c:pt idx="1">
                  <c:v>15.2</c:v>
                </c:pt>
                <c:pt idx="2">
                  <c:v>21.2</c:v>
                </c:pt>
                <c:pt idx="3">
                  <c:v>26.1</c:v>
                </c:pt>
                <c:pt idx="4">
                  <c:v>21.6</c:v>
                </c:pt>
                <c:pt idx="5">
                  <c:v>10.4</c:v>
                </c:pt>
                <c:pt idx="6">
                  <c:v>11</c:v>
                </c:pt>
                <c:pt idx="7">
                  <c:v>10</c:v>
                </c:pt>
                <c:pt idx="8">
                  <c:v>11.5</c:v>
                </c:pt>
                <c:pt idx="9">
                  <c:v>18.100000000000001</c:v>
                </c:pt>
                <c:pt idx="10">
                  <c:v>27.8</c:v>
                </c:pt>
                <c:pt idx="11">
                  <c:v>21</c:v>
                </c:pt>
                <c:pt idx="12">
                  <c:v>-10.4</c:v>
                </c:pt>
                <c:pt idx="13">
                  <c:v>1.7</c:v>
                </c:pt>
                <c:pt idx="14">
                  <c:v>16.8</c:v>
                </c:pt>
              </c:numCache>
            </c:numRef>
          </c:val>
        </c:ser>
        <c:ser>
          <c:idx val="1"/>
          <c:order val="1"/>
          <c:tx>
            <c:v>Balance de prévisions de l'emploi - échelle de gauche</c:v>
          </c:tx>
          <c:cat>
            <c:numRef>
              <c:f>'EES2012'!$B$4:$B$19</c:f>
              <c:numCache>
                <c:formatCode>General</c:formatCode>
                <c:ptCount val="16"/>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numCache>
            </c:numRef>
          </c:cat>
          <c:val>
            <c:numRef>
              <c:f>'EES2012'!$D$4:$D$19</c:f>
              <c:numCache>
                <c:formatCode>General</c:formatCode>
                <c:ptCount val="16"/>
                <c:pt idx="0">
                  <c:v>-0.5</c:v>
                </c:pt>
                <c:pt idx="1">
                  <c:v>8.4</c:v>
                </c:pt>
                <c:pt idx="2">
                  <c:v>12.4</c:v>
                </c:pt>
                <c:pt idx="3">
                  <c:v>14.1</c:v>
                </c:pt>
                <c:pt idx="4">
                  <c:v>19.399999999999999</c:v>
                </c:pt>
                <c:pt idx="5">
                  <c:v>11.1</c:v>
                </c:pt>
                <c:pt idx="6">
                  <c:v>3.1</c:v>
                </c:pt>
                <c:pt idx="7">
                  <c:v>3</c:v>
                </c:pt>
                <c:pt idx="8">
                  <c:v>4</c:v>
                </c:pt>
                <c:pt idx="9">
                  <c:v>6.1</c:v>
                </c:pt>
                <c:pt idx="10">
                  <c:v>14.5</c:v>
                </c:pt>
                <c:pt idx="11">
                  <c:v>20.6</c:v>
                </c:pt>
                <c:pt idx="12">
                  <c:v>-1.6</c:v>
                </c:pt>
                <c:pt idx="13">
                  <c:v>-2</c:v>
                </c:pt>
                <c:pt idx="14">
                  <c:v>8.3000000000000007</c:v>
                </c:pt>
                <c:pt idx="15">
                  <c:v>8.1</c:v>
                </c:pt>
              </c:numCache>
            </c:numRef>
          </c:val>
        </c:ser>
        <c:marker val="1"/>
        <c:axId val="64041728"/>
        <c:axId val="64043648"/>
      </c:lineChart>
      <c:lineChart>
        <c:grouping val="standard"/>
        <c:ser>
          <c:idx val="2"/>
          <c:order val="2"/>
          <c:tx>
            <c:v>Evolution du taux de création d'emplois - échelle de droite</c:v>
          </c:tx>
          <c:spPr>
            <a:ln>
              <a:solidFill>
                <a:schemeClr val="tx1"/>
              </a:solidFill>
              <a:prstDash val="sysDot"/>
            </a:ln>
          </c:spPr>
          <c:marker>
            <c:spPr>
              <a:solidFill>
                <a:schemeClr val="tx1"/>
              </a:solidFill>
              <a:ln>
                <a:solidFill>
                  <a:schemeClr val="tx1"/>
                </a:solidFill>
              </a:ln>
            </c:spPr>
          </c:marker>
          <c:val>
            <c:numRef>
              <c:f>'EES2012'!$E$4:$E$19</c:f>
              <c:numCache>
                <c:formatCode>0.00%</c:formatCode>
                <c:ptCount val="16"/>
                <c:pt idx="0">
                  <c:v>3.0769230769230826E-2</c:v>
                </c:pt>
                <c:pt idx="1">
                  <c:v>4.4776119402985023E-2</c:v>
                </c:pt>
                <c:pt idx="2">
                  <c:v>5.0000000000000024E-2</c:v>
                </c:pt>
                <c:pt idx="3">
                  <c:v>5.5622248899559815E-2</c:v>
                </c:pt>
                <c:pt idx="4">
                  <c:v>5.5344958301743623E-2</c:v>
                </c:pt>
                <c:pt idx="5">
                  <c:v>3.2327586206896554E-2</c:v>
                </c:pt>
                <c:pt idx="6">
                  <c:v>1.8093249826026604E-2</c:v>
                </c:pt>
                <c:pt idx="7">
                  <c:v>2.2214627477785468E-2</c:v>
                </c:pt>
                <c:pt idx="8">
                  <c:v>2.908726178535612E-2</c:v>
                </c:pt>
                <c:pt idx="9">
                  <c:v>3.5737491877842753E-2</c:v>
                </c:pt>
                <c:pt idx="10">
                  <c:v>4.4542032622333902E-2</c:v>
                </c:pt>
                <c:pt idx="11">
                  <c:v>4.7447447447447513E-2</c:v>
                </c:pt>
                <c:pt idx="12">
                  <c:v>9.7477064220182867E-3</c:v>
                </c:pt>
                <c:pt idx="13">
                  <c:v>1.8171493469619642E-2</c:v>
                </c:pt>
                <c:pt idx="14">
                  <c:v>2.9000000000000001E-2</c:v>
                </c:pt>
                <c:pt idx="15">
                  <c:v>1.7000000000000001E-2</c:v>
                </c:pt>
              </c:numCache>
            </c:numRef>
          </c:val>
        </c:ser>
        <c:marker val="1"/>
        <c:axId val="64055168"/>
        <c:axId val="64053632"/>
      </c:lineChart>
      <c:catAx>
        <c:axId val="64041728"/>
        <c:scaling>
          <c:orientation val="minMax"/>
        </c:scaling>
        <c:axPos val="b"/>
        <c:majorGridlines>
          <c:spPr>
            <a:ln>
              <a:prstDash val="sysDash"/>
            </a:ln>
          </c:spPr>
        </c:majorGridlines>
        <c:numFmt formatCode="General" sourceLinked="1"/>
        <c:tickLblPos val="low"/>
        <c:spPr>
          <a:ln w="19050">
            <a:solidFill>
              <a:schemeClr val="tx1"/>
            </a:solidFill>
          </a:ln>
        </c:spPr>
        <c:txPr>
          <a:bodyPr rot="-5400000" vert="horz"/>
          <a:lstStyle/>
          <a:p>
            <a:pPr>
              <a:defRPr/>
            </a:pPr>
            <a:endParaRPr lang="fr-FR"/>
          </a:p>
        </c:txPr>
        <c:crossAx val="64043648"/>
        <c:crosses val="autoZero"/>
        <c:auto val="1"/>
        <c:lblAlgn val="ctr"/>
        <c:lblOffset val="100"/>
      </c:catAx>
      <c:valAx>
        <c:axId val="64043648"/>
        <c:scaling>
          <c:orientation val="minMax"/>
        </c:scaling>
        <c:axPos val="l"/>
        <c:majorGridlines>
          <c:spPr>
            <a:ln>
              <a:prstDash val="sysDash"/>
            </a:ln>
          </c:spPr>
        </c:majorGridlines>
        <c:numFmt formatCode="General" sourceLinked="1"/>
        <c:tickLblPos val="nextTo"/>
        <c:crossAx val="64041728"/>
        <c:crosses val="autoZero"/>
        <c:crossBetween val="between"/>
      </c:valAx>
      <c:valAx>
        <c:axId val="64053632"/>
        <c:scaling>
          <c:orientation val="minMax"/>
        </c:scaling>
        <c:axPos val="r"/>
        <c:numFmt formatCode="0.00%" sourceLinked="1"/>
        <c:tickLblPos val="nextTo"/>
        <c:crossAx val="64055168"/>
        <c:crosses val="max"/>
        <c:crossBetween val="between"/>
      </c:valAx>
      <c:catAx>
        <c:axId val="64055168"/>
        <c:scaling>
          <c:orientation val="minMax"/>
        </c:scaling>
        <c:delete val="1"/>
        <c:axPos val="b"/>
        <c:tickLblPos val="none"/>
        <c:crossAx val="64053632"/>
        <c:crosses val="autoZero"/>
        <c:auto val="1"/>
        <c:lblAlgn val="ctr"/>
        <c:lblOffset val="100"/>
      </c:catAx>
      <c:spPr>
        <a:ln>
          <a:solidFill>
            <a:schemeClr val="tx1"/>
          </a:solidFill>
        </a:ln>
      </c:spPr>
    </c:plotArea>
    <c:legend>
      <c:legendPos val="b"/>
      <c:layout/>
    </c:legend>
    <c:plotVisOnly val="1"/>
  </c:chart>
  <c:spPr>
    <a:ln>
      <a:solidFill>
        <a:schemeClr val="tx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06C65-BA77-442B-AFEC-C21D85C69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2127</Words>
  <Characters>12418</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Chambre de Commerce</Company>
  <LinksUpToDate>false</LinksUpToDate>
  <CharactersWithSpaces>14516</CharactersWithSpaces>
  <SharedDoc>false</SharedDoc>
  <HLinks>
    <vt:vector size="18" baseType="variant">
      <vt:variant>
        <vt:i4>5242982</vt:i4>
      </vt:variant>
      <vt:variant>
        <vt:i4>9</vt:i4>
      </vt:variant>
      <vt:variant>
        <vt:i4>0</vt:i4>
      </vt:variant>
      <vt:variant>
        <vt:i4>5</vt:i4>
      </vt:variant>
      <vt:variant>
        <vt:lpwstr>mailto:eco@cc.lu</vt:lpwstr>
      </vt:variant>
      <vt:variant>
        <vt:lpwstr/>
      </vt:variant>
      <vt:variant>
        <vt:i4>6422571</vt:i4>
      </vt:variant>
      <vt:variant>
        <vt:i4>6</vt:i4>
      </vt:variant>
      <vt:variant>
        <vt:i4>0</vt:i4>
      </vt:variant>
      <vt:variant>
        <vt:i4>5</vt:i4>
      </vt:variant>
      <vt:variant>
        <vt:lpwstr>http://www.eurochambres.eu/</vt:lpwstr>
      </vt:variant>
      <vt:variant>
        <vt:lpwstr/>
      </vt:variant>
      <vt:variant>
        <vt:i4>1245279</vt:i4>
      </vt:variant>
      <vt:variant>
        <vt:i4>3</vt:i4>
      </vt:variant>
      <vt:variant>
        <vt:i4>0</vt:i4>
      </vt:variant>
      <vt:variant>
        <vt:i4>5</vt:i4>
      </vt:variant>
      <vt:variant>
        <vt:lpwstr>http://www.cc.lu/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dc:creator>
  <cp:lastModifiedBy>cch</cp:lastModifiedBy>
  <cp:revision>76</cp:revision>
  <cp:lastPrinted>2011-12-01T08:54:00Z</cp:lastPrinted>
  <dcterms:created xsi:type="dcterms:W3CDTF">2011-12-01T06:41:00Z</dcterms:created>
  <dcterms:modified xsi:type="dcterms:W3CDTF">2011-12-01T09:26:00Z</dcterms:modified>
</cp:coreProperties>
</file>